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33F5" w:rsidRPr="00251541" w:rsidRDefault="008A17FC" w:rsidP="0025154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</w:t>
      </w:r>
      <w:r w:rsidR="00251541" w:rsidRPr="00251541">
        <w:rPr>
          <w:rFonts w:ascii="Times New Roman" w:hAnsi="Times New Roman" w:cs="Times New Roman"/>
          <w:sz w:val="28"/>
          <w:szCs w:val="28"/>
        </w:rPr>
        <w:t xml:space="preserve">татная численность Управления </w:t>
      </w:r>
      <w:r w:rsidRPr="00251541">
        <w:rPr>
          <w:rFonts w:ascii="Times New Roman" w:hAnsi="Times New Roman" w:cs="Times New Roman"/>
          <w:sz w:val="28"/>
          <w:szCs w:val="28"/>
        </w:rPr>
        <w:t xml:space="preserve">на 01.01.2016 </w:t>
      </w:r>
      <w:r w:rsidR="00251541" w:rsidRPr="00251541">
        <w:rPr>
          <w:rFonts w:ascii="Times New Roman" w:hAnsi="Times New Roman" w:cs="Times New Roman"/>
          <w:sz w:val="28"/>
          <w:szCs w:val="28"/>
        </w:rPr>
        <w:t>составляет 530 единиц.</w:t>
      </w:r>
    </w:p>
    <w:p w:rsidR="00251541" w:rsidRPr="00251541" w:rsidRDefault="00251541" w:rsidP="00251541">
      <w:pPr>
        <w:jc w:val="both"/>
        <w:rPr>
          <w:rFonts w:ascii="Times New Roman" w:hAnsi="Times New Roman" w:cs="Times New Roman"/>
          <w:sz w:val="28"/>
          <w:szCs w:val="28"/>
        </w:rPr>
      </w:pPr>
      <w:r w:rsidRPr="00251541">
        <w:rPr>
          <w:rFonts w:ascii="Times New Roman" w:hAnsi="Times New Roman" w:cs="Times New Roman"/>
          <w:sz w:val="28"/>
          <w:szCs w:val="28"/>
        </w:rPr>
        <w:t xml:space="preserve">Фактическая численность Управления </w:t>
      </w:r>
      <w:r w:rsidR="008A17FC" w:rsidRPr="00251541">
        <w:rPr>
          <w:rFonts w:ascii="Times New Roman" w:hAnsi="Times New Roman" w:cs="Times New Roman"/>
          <w:sz w:val="28"/>
          <w:szCs w:val="28"/>
        </w:rPr>
        <w:t xml:space="preserve">на 01.01.2016 </w:t>
      </w:r>
      <w:r w:rsidRPr="00251541">
        <w:rPr>
          <w:rFonts w:ascii="Times New Roman" w:hAnsi="Times New Roman" w:cs="Times New Roman"/>
          <w:sz w:val="28"/>
          <w:szCs w:val="28"/>
        </w:rPr>
        <w:t>составляет 452 единицы.</w:t>
      </w:r>
    </w:p>
    <w:p w:rsidR="00251541" w:rsidRDefault="00251541" w:rsidP="00251541">
      <w:pPr>
        <w:jc w:val="both"/>
        <w:rPr>
          <w:rFonts w:ascii="Times New Roman" w:hAnsi="Times New Roman" w:cs="Times New Roman"/>
          <w:sz w:val="28"/>
          <w:szCs w:val="28"/>
        </w:rPr>
      </w:pPr>
      <w:r w:rsidRPr="00251541">
        <w:rPr>
          <w:rFonts w:ascii="Times New Roman" w:hAnsi="Times New Roman" w:cs="Times New Roman"/>
          <w:sz w:val="28"/>
          <w:szCs w:val="28"/>
        </w:rPr>
        <w:t xml:space="preserve">Среднесписочная численность Управления </w:t>
      </w:r>
      <w:r w:rsidR="008A17FC" w:rsidRPr="00251541">
        <w:rPr>
          <w:rFonts w:ascii="Times New Roman" w:hAnsi="Times New Roman" w:cs="Times New Roman"/>
          <w:sz w:val="28"/>
          <w:szCs w:val="28"/>
        </w:rPr>
        <w:t>на 01.01.201</w:t>
      </w:r>
      <w:r w:rsidR="008A17FC">
        <w:rPr>
          <w:rFonts w:ascii="Times New Roman" w:hAnsi="Times New Roman" w:cs="Times New Roman"/>
          <w:sz w:val="28"/>
          <w:szCs w:val="28"/>
        </w:rPr>
        <w:t>6</w:t>
      </w:r>
      <w:r w:rsidR="008A17FC">
        <w:rPr>
          <w:rFonts w:ascii="Times New Roman" w:hAnsi="Times New Roman" w:cs="Times New Roman"/>
          <w:sz w:val="28"/>
          <w:szCs w:val="28"/>
        </w:rPr>
        <w:t xml:space="preserve"> </w:t>
      </w:r>
      <w:r w:rsidRPr="00251541">
        <w:rPr>
          <w:rFonts w:ascii="Times New Roman" w:hAnsi="Times New Roman" w:cs="Times New Roman"/>
          <w:sz w:val="28"/>
          <w:szCs w:val="28"/>
        </w:rPr>
        <w:t>составляет 423 единицы.</w:t>
      </w:r>
    </w:p>
    <w:p w:rsidR="00251541" w:rsidRPr="008A17FC" w:rsidRDefault="00251541" w:rsidP="00251541">
      <w:pPr>
        <w:rPr>
          <w:b/>
          <w:u w:val="single"/>
        </w:rPr>
      </w:pPr>
    </w:p>
    <w:p w:rsidR="00251541" w:rsidRDefault="00EC4F56" w:rsidP="0025154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6D60078" wp14:editId="4ADCCEFD">
            <wp:extent cx="6162595" cy="3434763"/>
            <wp:effectExtent l="0" t="0" r="10160" b="13335"/>
            <wp:docPr id="91" name="Диаграмма 9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006D4A" w:rsidRDefault="00006D4A" w:rsidP="00E92CF1">
      <w:pPr>
        <w:tabs>
          <w:tab w:val="left" w:pos="138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006D4A" w:rsidRDefault="00006D4A" w:rsidP="0025154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806DC" w:rsidRDefault="00E806DC" w:rsidP="0025154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4949405" wp14:editId="32FF76D5">
            <wp:extent cx="6131859" cy="3434763"/>
            <wp:effectExtent l="0" t="0" r="2540" b="13335"/>
            <wp:docPr id="93" name="Диаграмма 9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006D4A" w:rsidRDefault="00006D4A" w:rsidP="0025154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06D4A" w:rsidRDefault="00006D4A" w:rsidP="00006D4A">
      <w:r>
        <w:rPr>
          <w:noProof/>
          <w:lang w:eastAsia="ru-RU"/>
        </w:rPr>
        <w:drawing>
          <wp:inline distT="0" distB="0" distL="0" distR="0" wp14:anchorId="14423CF8" wp14:editId="4C29B93B">
            <wp:extent cx="6162675" cy="3829050"/>
            <wp:effectExtent l="0" t="0" r="9525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006D4A" w:rsidRDefault="00006D4A" w:rsidP="00006D4A"/>
    <w:p w:rsidR="00006D4A" w:rsidRDefault="00006D4A" w:rsidP="00006D4A">
      <w:r>
        <w:rPr>
          <w:noProof/>
          <w:lang w:eastAsia="ru-RU"/>
        </w:rPr>
        <w:drawing>
          <wp:inline distT="0" distB="0" distL="0" distR="0" wp14:anchorId="77B3DCAE" wp14:editId="4A25EDA8">
            <wp:extent cx="6162675" cy="4248150"/>
            <wp:effectExtent l="0" t="0" r="9525" b="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006D4A" w:rsidRDefault="00006D4A" w:rsidP="00006D4A"/>
    <w:p w:rsidR="00006D4A" w:rsidRDefault="00006D4A" w:rsidP="00006D4A">
      <w:bookmarkStart w:id="0" w:name="_GoBack"/>
      <w:bookmarkEnd w:id="0"/>
    </w:p>
    <w:p w:rsidR="00006D4A" w:rsidRDefault="00006D4A" w:rsidP="00006D4A">
      <w:r>
        <w:rPr>
          <w:noProof/>
          <w:lang w:eastAsia="ru-RU"/>
        </w:rPr>
        <w:drawing>
          <wp:inline distT="0" distB="0" distL="0" distR="0" wp14:anchorId="2C1B15FB" wp14:editId="262710C2">
            <wp:extent cx="6162675" cy="3876675"/>
            <wp:effectExtent l="0" t="0" r="9525" b="9525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006D4A" w:rsidRPr="00251541" w:rsidRDefault="00006D4A" w:rsidP="00251541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006D4A" w:rsidRPr="002515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1541"/>
    <w:rsid w:val="00006D4A"/>
    <w:rsid w:val="00097CF9"/>
    <w:rsid w:val="00187745"/>
    <w:rsid w:val="00251541"/>
    <w:rsid w:val="003B7C48"/>
    <w:rsid w:val="005A57AF"/>
    <w:rsid w:val="00656862"/>
    <w:rsid w:val="0081762A"/>
    <w:rsid w:val="008A17FC"/>
    <w:rsid w:val="008C4E2C"/>
    <w:rsid w:val="009A530F"/>
    <w:rsid w:val="00B1143D"/>
    <w:rsid w:val="00C05DD2"/>
    <w:rsid w:val="00E806DC"/>
    <w:rsid w:val="00E92CF1"/>
    <w:rsid w:val="00EC4F56"/>
    <w:rsid w:val="00FB3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C55402-5B6F-4A2B-917C-B79C375F0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D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06D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5.xml"/><Relationship Id="rId3" Type="http://schemas.openxmlformats.org/officeDocument/2006/relationships/webSettings" Target="webSettings.xml"/><Relationship Id="rId7" Type="http://schemas.openxmlformats.org/officeDocument/2006/relationships/chart" Target="charts/chart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5" Type="http://schemas.openxmlformats.org/officeDocument/2006/relationships/chart" Target="charts/chart2.xml"/><Relationship Id="rId10" Type="http://schemas.openxmlformats.org/officeDocument/2006/relationships/theme" Target="theme/theme1.xml"/><Relationship Id="rId4" Type="http://schemas.openxmlformats.org/officeDocument/2006/relationships/chart" Target="charts/chart1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2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5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7"/>
    </mc:Choice>
    <mc:Fallback>
      <c:style val="7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Распределение должностей государственной гражданской службы по группам на 01.01.2016</a:t>
            </a:r>
          </a:p>
          <a:p>
            <a:pPr>
              <a:defRPr/>
            </a:pPr>
            <a:r>
              <a:rPr lang="ru-RU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по УФК по Республике Крым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15"/>
      <c:rotY val="2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1289169582968796"/>
          <c:y val="0.2253968253968254"/>
          <c:w val="0.86396015602216392"/>
          <c:h val="0.61955005624296966"/>
        </c:manualLayout>
      </c:layout>
      <c:bar3DChart>
        <c:barDir val="col"/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Группа должностей</c:v>
                </c:pt>
              </c:strCache>
            </c:strRef>
          </c:tx>
          <c:spPr>
            <a:gradFill rotWithShape="1">
              <a:gsLst>
                <a:gs pos="0">
                  <a:schemeClr val="accent5">
                    <a:satMod val="103000"/>
                    <a:lumMod val="102000"/>
                    <a:tint val="94000"/>
                  </a:schemeClr>
                </a:gs>
                <a:gs pos="50000">
                  <a:schemeClr val="accent5">
                    <a:satMod val="110000"/>
                    <a:lumMod val="100000"/>
                    <a:shade val="100000"/>
                  </a:schemeClr>
                </a:gs>
                <a:gs pos="100000">
                  <a:schemeClr val="accent5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  <a:sp3d/>
          </c:spPr>
          <c:invertIfNegative val="0"/>
          <c:dLbls>
            <c:dLbl>
              <c:idx val="0"/>
              <c:layout>
                <c:manualLayout>
                  <c:x val="2.0579548331396746E-2"/>
                  <c:y val="-4.969233255160908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2.0610057708160827E-3"/>
                  <c:y val="-3.697541135145128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2.0610057708161582E-3"/>
                  <c:y val="-3.327787021630615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1.5113867722628846E-16"/>
                  <c:y val="-4.806803475688660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Главная</c:v>
                </c:pt>
                <c:pt idx="1">
                  <c:v>Ведущая</c:v>
                </c:pt>
                <c:pt idx="2">
                  <c:v>Старшая</c:v>
                </c:pt>
                <c:pt idx="3">
                  <c:v>Младшая</c:v>
                </c:pt>
              </c:strCache>
            </c:strRef>
          </c:cat>
          <c:val>
            <c:numRef>
              <c:f>Лист1!$B$2:$B$5</c:f>
              <c:numCache>
                <c:formatCode>0.00%</c:formatCode>
                <c:ptCount val="4"/>
                <c:pt idx="0">
                  <c:v>2E-3</c:v>
                </c:pt>
                <c:pt idx="1">
                  <c:v>0.36099999999999999</c:v>
                </c:pt>
                <c:pt idx="2">
                  <c:v>0.53100000000000003</c:v>
                </c:pt>
                <c:pt idx="3">
                  <c:v>0.106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shape val="box"/>
        <c:axId val="272132704"/>
        <c:axId val="272132312"/>
        <c:axId val="320801400"/>
      </c:bar3DChart>
      <c:catAx>
        <c:axId val="2721327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72132312"/>
        <c:crossesAt val="0"/>
        <c:auto val="1"/>
        <c:lblAlgn val="ctr"/>
        <c:lblOffset val="100"/>
        <c:noMultiLvlLbl val="0"/>
      </c:catAx>
      <c:valAx>
        <c:axId val="272132312"/>
        <c:scaling>
          <c:orientation val="minMax"/>
          <c:max val="0.60000000000000009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%" sourceLinked="0"/>
        <c:majorTickMark val="none"/>
        <c:minorTickMark val="none"/>
        <c:tickLblPos val="nextTo"/>
        <c:spPr>
          <a:noFill/>
          <a:ln>
            <a:solidFill>
              <a:schemeClr val="accent1">
                <a:shade val="95000"/>
                <a:satMod val="105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72132704"/>
        <c:crosses val="autoZero"/>
        <c:crossBetween val="between"/>
        <c:majorUnit val="0.1"/>
        <c:minorUnit val="2.0000000000000004E-2"/>
      </c:valAx>
      <c:serAx>
        <c:axId val="320801400"/>
        <c:scaling>
          <c:orientation val="minMax"/>
        </c:scaling>
        <c:delete val="1"/>
        <c:axPos val="b"/>
        <c:majorTickMark val="out"/>
        <c:minorTickMark val="none"/>
        <c:tickLblPos val="nextTo"/>
        <c:crossAx val="272132312"/>
        <c:crosses val="autoZero"/>
      </c:ser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95000"/>
          <a:lumOff val="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Распределение должностей государственной гражданской службы по категориям </a:t>
            </a:r>
            <a:r>
              <a:rPr lang="ru-RU" sz="1600" b="1" i="0" baseline="0">
                <a:solidFill>
                  <a:sysClr val="windowText" lastClr="000000"/>
                </a:solidFill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  <a:t>на 01.01.2016</a:t>
            </a:r>
            <a:endParaRPr lang="ru-RU" sz="1600">
              <a:solidFill>
                <a:sysClr val="windowText" lastClr="000000"/>
              </a:solidFill>
              <a:effectLst/>
              <a:latin typeface="Times New Roman" panose="02020603050405020304" pitchFamily="18" charset="0"/>
              <a:cs typeface="Times New Roman" panose="02020603050405020304" pitchFamily="18" charset="0"/>
            </a:endParaRPr>
          </a:p>
          <a:p>
            <a:pPr>
              <a:defRPr/>
            </a:pPr>
            <a:r>
              <a:rPr lang="ru-RU" sz="1600" b="1" i="0" baseline="0">
                <a:solidFill>
                  <a:sysClr val="windowText" lastClr="000000"/>
                </a:solidFill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  <a:t>по УФК по Республике Крым</a:t>
            </a:r>
            <a:endParaRPr lang="ru-RU" sz="1600">
              <a:solidFill>
                <a:sysClr val="windowText" lastClr="000000"/>
              </a:solidFill>
              <a:effectLst/>
              <a:latin typeface="Times New Roman" panose="02020603050405020304" pitchFamily="18" charset="0"/>
              <a:cs typeface="Times New Roman" panose="02020603050405020304" pitchFamily="18" charset="0"/>
            </a:endParaRPr>
          </a:p>
          <a:p>
            <a:pPr>
              <a:defRPr/>
            </a:pPr>
            <a:endParaRPr lang="ru-RU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15"/>
      <c:rotY val="2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1289169582968796"/>
          <c:y val="0.24523809523809523"/>
          <c:w val="0.86396015602216392"/>
          <c:h val="0.61955005624296966"/>
        </c:manualLayout>
      </c:layout>
      <c:bar3DChart>
        <c:barDir val="col"/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Категория должностей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  <a:sp3d/>
          </c:spPr>
          <c:invertIfNegative val="0"/>
          <c:dLbls>
            <c:dLbl>
              <c:idx val="0"/>
              <c:layout>
                <c:manualLayout>
                  <c:x val="2.680345621668874E-2"/>
                  <c:y val="-1.875847049900792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6.4572474215370962E-3"/>
                  <c:y val="-3.805817949960913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2.0712510356255178E-3"/>
                  <c:y val="-2.958032908116102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2.0712510356255178E-3"/>
                  <c:y val="-4.545326176989946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Руководители</c:v>
                </c:pt>
                <c:pt idx="1">
                  <c:v>Помощники  (советники)</c:v>
                </c:pt>
                <c:pt idx="2">
                  <c:v>Специалисты</c:v>
                </c:pt>
                <c:pt idx="3">
                  <c:v>Обеспечивающие специалисты</c:v>
                </c:pt>
              </c:strCache>
            </c:strRef>
          </c:cat>
          <c:val>
            <c:numRef>
              <c:f>Лист1!$B$2:$B$5</c:f>
              <c:numCache>
                <c:formatCode>0.00%</c:formatCode>
                <c:ptCount val="4"/>
                <c:pt idx="0">
                  <c:v>0.20100000000000001</c:v>
                </c:pt>
                <c:pt idx="1">
                  <c:v>4.0000000000000001E-3</c:v>
                </c:pt>
                <c:pt idx="2">
                  <c:v>0.59099999999999997</c:v>
                </c:pt>
                <c:pt idx="3">
                  <c:v>0.20399999999999999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shape val="box"/>
        <c:axId val="272135056"/>
        <c:axId val="272166512"/>
        <c:axId val="320795040"/>
      </c:bar3DChart>
      <c:catAx>
        <c:axId val="2721350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72166512"/>
        <c:crossesAt val="0"/>
        <c:auto val="1"/>
        <c:lblAlgn val="ctr"/>
        <c:lblOffset val="100"/>
        <c:noMultiLvlLbl val="0"/>
      </c:catAx>
      <c:valAx>
        <c:axId val="272166512"/>
        <c:scaling>
          <c:orientation val="minMax"/>
          <c:max val="0.60000000000000009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%" sourceLinked="0"/>
        <c:majorTickMark val="none"/>
        <c:minorTickMark val="none"/>
        <c:tickLblPos val="nextTo"/>
        <c:spPr>
          <a:noFill/>
          <a:ln>
            <a:solidFill>
              <a:schemeClr val="accent1">
                <a:shade val="95000"/>
                <a:satMod val="105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72135056"/>
        <c:crosses val="autoZero"/>
        <c:crossBetween val="between"/>
        <c:majorUnit val="0.1"/>
        <c:minorUnit val="2.0000000000000004E-2"/>
      </c:valAx>
      <c:serAx>
        <c:axId val="320795040"/>
        <c:scaling>
          <c:orientation val="minMax"/>
        </c:scaling>
        <c:delete val="1"/>
        <c:axPos val="b"/>
        <c:majorTickMark val="out"/>
        <c:minorTickMark val="none"/>
        <c:tickLblPos val="nextTo"/>
        <c:crossAx val="272166512"/>
        <c:crosses val="autoZero"/>
      </c:ser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95000"/>
          <a:lumOff val="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7"/>
    </mc:Choice>
    <mc:Fallback>
      <c:style val="7"/>
    </mc:Fallback>
  </mc:AlternateContent>
  <c:chart>
    <c:title>
      <c:tx>
        <c:rich>
          <a:bodyPr/>
          <a:lstStyle/>
          <a:p>
            <a:pPr marL="0" marR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8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 sz="1400">
                <a:latin typeface="Times New Roman" pitchFamily="18" charset="0"/>
                <a:cs typeface="Times New Roman" pitchFamily="18" charset="0"/>
              </a:rPr>
              <a:t>Информация по гендерному составу государственных гражданских</a:t>
            </a:r>
            <a:r>
              <a:rPr lang="ru-RU" sz="1400" baseline="0">
                <a:latin typeface="Times New Roman" pitchFamily="18" charset="0"/>
                <a:cs typeface="Times New Roman" pitchFamily="18" charset="0"/>
              </a:rPr>
              <a:t> служащих в УФК по Республике Крым</a:t>
            </a:r>
          </a:p>
          <a:p>
            <a:pPr marL="0" marR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8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 sz="1400" b="1" i="0" kern="1200" baseline="0">
                <a:solidFill>
                  <a:srgbClr val="000000"/>
                </a:solidFill>
                <a:latin typeface="Times New Roman"/>
                <a:cs typeface="Times New Roman"/>
              </a:rPr>
              <a:t>на 01.01.2016 </a:t>
            </a:r>
          </a:p>
          <a:p>
            <a:pPr marL="0" marR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8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 sz="1400">
                <a:latin typeface="Times New Roman" pitchFamily="18" charset="0"/>
                <a:cs typeface="Times New Roman" pitchFamily="18" charset="0"/>
              </a:rPr>
              <a:t> </a:t>
            </a:r>
          </a:p>
        </c:rich>
      </c:tx>
      <c:overlay val="0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spPr>
            <a:solidFill>
              <a:schemeClr val="tx2">
                <a:lumMod val="60000"/>
                <a:lumOff val="40000"/>
              </a:schemeClr>
            </a:solidFill>
            <a:effectLst>
              <a:innerShdw blurRad="114300">
                <a:prstClr val="black"/>
              </a:innerShdw>
            </a:effectLst>
          </c:spPr>
          <c:explosion val="25"/>
          <c:dPt>
            <c:idx val="0"/>
            <c:bubble3D val="0"/>
            <c:spPr>
              <a:solidFill>
                <a:schemeClr val="accent5">
                  <a:lumMod val="60000"/>
                  <a:lumOff val="40000"/>
                </a:schemeClr>
              </a:solidFill>
              <a:ln w="9525" cap="flat" cmpd="sng" algn="ctr">
                <a:solidFill>
                  <a:schemeClr val="accent1">
                    <a:lumMod val="50000"/>
                  </a:schemeClr>
                </a:solidFill>
                <a:prstDash val="solid"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</c:spPr>
          </c:dPt>
          <c:dPt>
            <c:idx val="1"/>
            <c:bubble3D val="0"/>
            <c:spPr>
              <a:solidFill>
                <a:srgbClr val="FF5050"/>
              </a:solidFill>
              <a:ln w="9525" cap="flat" cmpd="sng" algn="ctr">
                <a:solidFill>
                  <a:schemeClr val="accent2">
                    <a:shade val="95000"/>
                    <a:satMod val="105000"/>
                  </a:schemeClr>
                </a:solidFill>
                <a:prstDash val="solid"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</c:spPr>
          </c:dPt>
          <c:dLbls>
            <c:dLbl>
              <c:idx val="0"/>
              <c:layout>
                <c:manualLayout>
                  <c:x val="-5.6079462246508213E-2"/>
                  <c:y val="7.6890090231258409E-2"/>
                </c:manualLayout>
              </c:layout>
              <c:tx>
                <c:rich>
                  <a:bodyPr/>
                  <a:lstStyle/>
                  <a:p>
                    <a:r>
                      <a:rPr lang="en-US" sz="2000">
                        <a:latin typeface="Times New Roman" pitchFamily="18" charset="0"/>
                        <a:cs typeface="Times New Roman" pitchFamily="18" charset="0"/>
                      </a:rPr>
                      <a:t>71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8.9656520910156703E-2"/>
                  <c:y val="-0.19715412439116753"/>
                </c:manualLayout>
              </c:layout>
              <c:tx>
                <c:rich>
                  <a:bodyPr/>
                  <a:lstStyle/>
                  <a:p>
                    <a:r>
                      <a:rPr lang="en-US" sz="2000">
                        <a:latin typeface="Times New Roman" pitchFamily="18" charset="0"/>
                        <a:cs typeface="Times New Roman" pitchFamily="18" charset="0"/>
                      </a:rPr>
                      <a:t>423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2000">
                    <a:ln>
                      <a:noFill/>
                    </a:ln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Лист1!$A$2:$A$3</c:f>
              <c:strCache>
                <c:ptCount val="2"/>
                <c:pt idx="0">
                  <c:v>Количество мужчин, чел</c:v>
                </c:pt>
                <c:pt idx="1">
                  <c:v>Количество женщин, чел</c:v>
                </c:pt>
              </c:strCache>
            </c:strRef>
          </c:cat>
          <c:val>
            <c:numRef>
              <c:f>Лист1!$B$2:$B$3</c:f>
              <c:numCache>
                <c:formatCode>0%</c:formatCode>
                <c:ptCount val="2"/>
                <c:pt idx="0">
                  <c:v>0.14000000000000001</c:v>
                </c:pt>
                <c:pt idx="1">
                  <c:v>0.86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</c:pie3DChart>
    </c:plotArea>
    <c:legend>
      <c:legendPos val="r"/>
      <c:layout>
        <c:manualLayout>
          <c:xMode val="edge"/>
          <c:yMode val="edge"/>
          <c:x val="0.63462230281493015"/>
          <c:y val="0.50000052232276937"/>
          <c:w val="0.35301293675230316"/>
          <c:h val="0.24344837492328383"/>
        </c:manualLayout>
      </c:layout>
      <c:overlay val="0"/>
      <c:txPr>
        <a:bodyPr/>
        <a:lstStyle/>
        <a:p>
          <a:pPr>
            <a:defRPr sz="1400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 marL="0" marR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8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 sz="1400" b="1" i="0" baseline="0">
                <a:latin typeface="Times New Roman" pitchFamily="18" charset="0"/>
                <a:cs typeface="Times New Roman" pitchFamily="18" charset="0"/>
              </a:rPr>
              <a:t>Информация по наличию образования у государственных гражданских служащих </a:t>
            </a:r>
            <a:r>
              <a:rPr lang="ru-RU" sz="1400" b="1" i="0" baseline="0"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  <a:t>в УФК по Республике Крым</a:t>
            </a:r>
            <a:endParaRPr lang="ru-RU" sz="1400">
              <a:effectLst/>
              <a:latin typeface="Times New Roman" panose="02020603050405020304" pitchFamily="18" charset="0"/>
              <a:cs typeface="Times New Roman" panose="02020603050405020304" pitchFamily="18" charset="0"/>
            </a:endParaRPr>
          </a:p>
          <a:p>
            <a:pPr marL="0" marR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8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 sz="1400" b="1" i="0" baseline="0"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  <a:t>на 01.01.2016 </a:t>
            </a:r>
            <a:endParaRPr lang="ru-RU" sz="1400">
              <a:effectLst/>
              <a:latin typeface="Times New Roman" panose="02020603050405020304" pitchFamily="18" charset="0"/>
              <a:cs typeface="Times New Roman" panose="02020603050405020304" pitchFamily="18" charset="0"/>
            </a:endParaRPr>
          </a:p>
          <a:p>
            <a:pPr marL="0" marR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8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rich>
      </c:tx>
      <c:overlay val="0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spPr>
            <a:solidFill>
              <a:srgbClr val="009900"/>
            </a:solidFill>
          </c:spPr>
          <c:explosion val="25"/>
          <c:dPt>
            <c:idx val="0"/>
            <c:bubble3D val="0"/>
            <c:spPr>
              <a:solidFill>
                <a:srgbClr val="009900"/>
              </a:solidFill>
              <a:effectLst>
                <a:outerShdw blurRad="50800" dist="38100" dir="10800000" algn="r" rotWithShape="0">
                  <a:prstClr val="black">
                    <a:alpha val="40000"/>
                  </a:prstClr>
                </a:outerShdw>
              </a:effectLst>
            </c:spPr>
          </c:dPt>
          <c:dPt>
            <c:idx val="1"/>
            <c:bubble3D val="0"/>
            <c:spPr>
              <a:solidFill>
                <a:srgbClr val="FFC000"/>
              </a:solidFill>
            </c:spPr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en-US" sz="2000">
                        <a:latin typeface="Times New Roman" pitchFamily="18" charset="0"/>
                        <a:cs typeface="Times New Roman" pitchFamily="18" charset="0"/>
                      </a:rPr>
                      <a:t>489</a:t>
                    </a:r>
                  </a:p>
                </c:rich>
              </c:tx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tx>
                <c:rich>
                  <a:bodyPr/>
                  <a:lstStyle/>
                  <a:p>
                    <a:pPr>
                      <a:defRPr sz="2000">
                        <a:latin typeface="Times New Roman" pitchFamily="18" charset="0"/>
                        <a:cs typeface="Times New Roman" pitchFamily="18" charset="0"/>
                      </a:defRPr>
                    </a:pPr>
                    <a:r>
                      <a:rPr lang="en-US"/>
                      <a:t>5</a:t>
                    </a:r>
                  </a:p>
                </c:rich>
              </c:tx>
              <c:spPr/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Лист1!$A$2:$A$3</c:f>
              <c:strCache>
                <c:ptCount val="2"/>
                <c:pt idx="0">
                  <c:v>Высшее образование, чел.</c:v>
                </c:pt>
                <c:pt idx="1">
                  <c:v>Среднее профессиональное образование, чел.</c:v>
                </c:pt>
              </c:strCache>
            </c:strRef>
          </c:cat>
          <c:val>
            <c:numRef>
              <c:f>Лист1!$B$2:$B$3</c:f>
              <c:numCache>
                <c:formatCode>0%</c:formatCode>
                <c:ptCount val="2"/>
                <c:pt idx="0">
                  <c:v>0.99</c:v>
                </c:pt>
                <c:pt idx="1">
                  <c:v>0.01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</c:pie3DChart>
      <c:spPr>
        <a:effectLst>
          <a:glow rad="228600">
            <a:schemeClr val="accent1">
              <a:satMod val="175000"/>
              <a:alpha val="40000"/>
            </a:schemeClr>
          </a:glow>
          <a:innerShdw blurRad="63500" dist="50800" dir="5400000">
            <a:prstClr val="black">
              <a:alpha val="50000"/>
            </a:prstClr>
          </a:innerShdw>
        </a:effectLst>
      </c:spPr>
    </c:plotArea>
    <c:legend>
      <c:legendPos val="r"/>
      <c:overlay val="0"/>
      <c:txPr>
        <a:bodyPr/>
        <a:lstStyle/>
        <a:p>
          <a:pPr>
            <a:defRPr sz="1400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 marL="0" marR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8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 sz="1400" b="1" i="0" kern="1200" baseline="0">
                <a:solidFill>
                  <a:srgbClr val="000000"/>
                </a:solidFill>
                <a:latin typeface="Times New Roman" pitchFamily="18" charset="0"/>
                <a:cs typeface="Times New Roman" pitchFamily="18" charset="0"/>
              </a:rPr>
              <a:t>Информация по возрастному составу государственных гражданских служащих </a:t>
            </a:r>
            <a:r>
              <a:rPr lang="ru-RU" sz="1400" b="1" i="0" baseline="0"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  <a:t>в УФК по Республике Крым</a:t>
            </a:r>
            <a:endParaRPr lang="ru-RU" sz="1400">
              <a:effectLst/>
              <a:latin typeface="Times New Roman" panose="02020603050405020304" pitchFamily="18" charset="0"/>
              <a:cs typeface="Times New Roman" panose="02020603050405020304" pitchFamily="18" charset="0"/>
            </a:endParaRPr>
          </a:p>
          <a:p>
            <a:pPr marL="0" marR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8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 sz="1400" b="1" i="0" baseline="0"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  <a:t>на 01.01.2016 </a:t>
            </a:r>
            <a:endParaRPr lang="ru-RU" sz="1400">
              <a:effectLst/>
              <a:latin typeface="Times New Roman" panose="02020603050405020304" pitchFamily="18" charset="0"/>
              <a:cs typeface="Times New Roman" panose="02020603050405020304" pitchFamily="18" charset="0"/>
            </a:endParaRPr>
          </a:p>
          <a:p>
            <a:pPr marL="0" marR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8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rich>
      </c:tx>
      <c:layout>
        <c:manualLayout>
          <c:xMode val="edge"/>
          <c:yMode val="edge"/>
          <c:x val="0.14266872746007211"/>
          <c:y val="0"/>
        </c:manualLayout>
      </c:layout>
      <c:overlay val="0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explosion val="25"/>
          <c:dPt>
            <c:idx val="0"/>
            <c:bubble3D val="0"/>
            <c:spPr>
              <a:solidFill>
                <a:srgbClr val="00B0F0"/>
              </a:solidFill>
            </c:spPr>
          </c:dPt>
          <c:dPt>
            <c:idx val="1"/>
            <c:bubble3D val="0"/>
            <c:spPr>
              <a:solidFill>
                <a:srgbClr val="FFC000"/>
              </a:solidFill>
              <a:effectLst>
                <a:outerShdw blurRad="50800" dist="38100" dir="10800000" algn="r" rotWithShape="0">
                  <a:prstClr val="black">
                    <a:alpha val="40000"/>
                  </a:prstClr>
                </a:outerShdw>
              </a:effectLst>
            </c:spPr>
          </c:dPt>
          <c:dPt>
            <c:idx val="2"/>
            <c:bubble3D val="0"/>
            <c:spPr>
              <a:solidFill>
                <a:srgbClr val="9900CC"/>
              </a:solidFill>
            </c:spPr>
          </c:dPt>
          <c:dPt>
            <c:idx val="3"/>
            <c:bubble3D val="0"/>
            <c:spPr>
              <a:solidFill>
                <a:srgbClr val="92D050"/>
              </a:solidFill>
            </c:spPr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151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215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81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47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2000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Возраст до 30 лет, чел</c:v>
                </c:pt>
                <c:pt idx="1">
                  <c:v>Возраст 31-40 лет, чел</c:v>
                </c:pt>
                <c:pt idx="2">
                  <c:v>Возраст 41-50 лет, чел</c:v>
                </c:pt>
                <c:pt idx="3">
                  <c:v>Возраст 51-59 лет, чел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0.3</c:v>
                </c:pt>
                <c:pt idx="1">
                  <c:v>0.45</c:v>
                </c:pt>
                <c:pt idx="2">
                  <c:v>0.16</c:v>
                </c:pt>
                <c:pt idx="3">
                  <c:v>0.09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</c:pie3DChart>
    </c:plotArea>
    <c:legend>
      <c:legendPos val="r"/>
      <c:overlay val="0"/>
      <c:txPr>
        <a:bodyPr/>
        <a:lstStyle/>
        <a:p>
          <a:pPr>
            <a:defRPr sz="1400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withinLinear" id="18">
  <a:schemeClr val="accent5"/>
</cs:colorStyle>
</file>

<file path=word/charts/colors2.xml><?xml version="1.0" encoding="utf-8"?>
<cs:colorStyle xmlns:cs="http://schemas.microsoft.com/office/drawing/2012/chartStyle" xmlns:a="http://schemas.openxmlformats.org/drawingml/2006/main" meth="withinLinear" id="14">
  <a:schemeClr val="accent1"/>
</cs:colorStyle>
</file>

<file path=word/charts/style1.xml><?xml version="1.0" encoding="utf-8"?>
<cs:chartStyle xmlns:cs="http://schemas.microsoft.com/office/drawing/2012/chartStyle" xmlns:a="http://schemas.openxmlformats.org/drawingml/2006/main" id="3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lt1"/>
    </cs:fontRef>
  </cs:dataPoint>
  <cs:dataPoint3D>
    <cs:lnRef idx="0"/>
    <cs:fillRef idx="3">
      <cs:styleClr val="auto"/>
    </cs:fillRef>
    <cs:effectRef idx="3"/>
    <cs:fontRef idx="minor">
      <a:schemeClr val="lt1"/>
    </cs:fontRef>
  </cs:dataPoint3D>
  <cs:dataPointLine>
    <cs:lnRef idx="0">
      <cs:styleClr val="auto"/>
    </cs:lnRef>
    <cs:fillRef idx="3"/>
    <cs:effectRef idx="3"/>
    <cs:fontRef idx="minor">
      <a:schemeClr val="lt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lt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lt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3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lt1"/>
    </cs:fontRef>
  </cs:dataPoint>
  <cs:dataPoint3D>
    <cs:lnRef idx="0"/>
    <cs:fillRef idx="3">
      <cs:styleClr val="auto"/>
    </cs:fillRef>
    <cs:effectRef idx="3"/>
    <cs:fontRef idx="minor">
      <a:schemeClr val="lt1"/>
    </cs:fontRef>
  </cs:dataPoint3D>
  <cs:dataPointLine>
    <cs:lnRef idx="0">
      <cs:styleClr val="auto"/>
    </cs:lnRef>
    <cs:fillRef idx="3"/>
    <cs:effectRef idx="3"/>
    <cs:fontRef idx="minor">
      <a:schemeClr val="lt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lt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lt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3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Штилик Татьяна Сергеевна</dc:creator>
  <cp:keywords/>
  <dc:description/>
  <cp:lastModifiedBy>Штилик Татьяна Сергеевна</cp:lastModifiedBy>
  <cp:revision>6</cp:revision>
  <cp:lastPrinted>2016-01-25T07:03:00Z</cp:lastPrinted>
  <dcterms:created xsi:type="dcterms:W3CDTF">2016-01-22T08:05:00Z</dcterms:created>
  <dcterms:modified xsi:type="dcterms:W3CDTF">2016-01-25T07:03:00Z</dcterms:modified>
</cp:coreProperties>
</file>