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162" w:rsidRDefault="001D7162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1D7162" w:rsidRDefault="001D7162">
      <w:pPr>
        <w:pStyle w:val="ConsPlusNormal"/>
        <w:jc w:val="both"/>
        <w:outlineLvl w:val="0"/>
      </w:pPr>
    </w:p>
    <w:p w:rsidR="001D7162" w:rsidRDefault="001D7162">
      <w:pPr>
        <w:pStyle w:val="ConsPlusNormal"/>
      </w:pPr>
      <w:r>
        <w:t>Зарегистрировано в Минюсте России 5 ноября 2020 г. N 60761</w:t>
      </w:r>
    </w:p>
    <w:p w:rsidR="001D7162" w:rsidRDefault="001D716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D7162" w:rsidRDefault="001D7162">
      <w:pPr>
        <w:pStyle w:val="ConsPlusNormal"/>
      </w:pPr>
    </w:p>
    <w:p w:rsidR="001D7162" w:rsidRDefault="001D7162">
      <w:pPr>
        <w:pStyle w:val="ConsPlusTitle"/>
        <w:jc w:val="center"/>
      </w:pPr>
      <w:r>
        <w:t>ЦЕНТРАЛЬНЫЙ БАНК РОССИЙСКОЙ ФЕДЕРАЦИИ</w:t>
      </w:r>
    </w:p>
    <w:p w:rsidR="001D7162" w:rsidRDefault="001D7162">
      <w:pPr>
        <w:pStyle w:val="ConsPlusTitle"/>
        <w:jc w:val="center"/>
      </w:pPr>
    </w:p>
    <w:p w:rsidR="001D7162" w:rsidRDefault="001D7162">
      <w:pPr>
        <w:pStyle w:val="ConsPlusTitle"/>
        <w:jc w:val="center"/>
      </w:pPr>
      <w:r>
        <w:t>ПОЛОЖЕНИЕ</w:t>
      </w:r>
    </w:p>
    <w:p w:rsidR="001D7162" w:rsidRDefault="001D7162">
      <w:pPr>
        <w:pStyle w:val="ConsPlusTitle"/>
        <w:jc w:val="center"/>
      </w:pPr>
      <w:r>
        <w:t>от 6 октября 2020 г. N 735-П</w:t>
      </w:r>
    </w:p>
    <w:p w:rsidR="001D7162" w:rsidRDefault="001D7162">
      <w:pPr>
        <w:pStyle w:val="ConsPlusTitle"/>
        <w:jc w:val="center"/>
      </w:pPr>
    </w:p>
    <w:p w:rsidR="001D7162" w:rsidRDefault="001D7162">
      <w:pPr>
        <w:pStyle w:val="ConsPlusTitle"/>
        <w:jc w:val="center"/>
      </w:pPr>
      <w:r>
        <w:t>О ВЕДЕНИИ</w:t>
      </w:r>
    </w:p>
    <w:p w:rsidR="001D7162" w:rsidRDefault="001D7162">
      <w:pPr>
        <w:pStyle w:val="ConsPlusTitle"/>
        <w:jc w:val="center"/>
      </w:pPr>
      <w:r>
        <w:t>БАНКОМ РОССИИ И КРЕДИТНЫМИ ОРГАНИЗАЦИЯМИ (ФИЛИАЛАМИ)</w:t>
      </w:r>
    </w:p>
    <w:p w:rsidR="001D7162" w:rsidRDefault="001D7162">
      <w:pPr>
        <w:pStyle w:val="ConsPlusTitle"/>
        <w:jc w:val="center"/>
      </w:pPr>
      <w:r>
        <w:t>БАНКОВСКИХ СЧЕТОВ ТЕРРИТОРИАЛЬНЫХ ОРГАНОВ</w:t>
      </w:r>
    </w:p>
    <w:p w:rsidR="001D7162" w:rsidRDefault="001D7162">
      <w:pPr>
        <w:pStyle w:val="ConsPlusTitle"/>
        <w:jc w:val="center"/>
      </w:pPr>
      <w:r>
        <w:t>ФЕДЕРАЛЬНОГО КАЗНАЧЕЙСТВА</w:t>
      </w:r>
    </w:p>
    <w:p w:rsidR="001D7162" w:rsidRDefault="001D7162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D716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D7162" w:rsidRDefault="001D7162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D7162" w:rsidRDefault="001D7162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D7162" w:rsidRDefault="001D716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D7162" w:rsidRDefault="001D716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Указания</w:t>
              </w:r>
            </w:hyperlink>
            <w:r>
              <w:rPr>
                <w:color w:val="392C69"/>
              </w:rPr>
              <w:t xml:space="preserve"> Банка России от 25.03.2021 N 5755-У)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D7162" w:rsidRDefault="001D7162"/>
        </w:tc>
      </w:tr>
    </w:tbl>
    <w:p w:rsidR="001D7162" w:rsidRDefault="001D7162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D716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D7162" w:rsidRDefault="001D7162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D7162" w:rsidRDefault="001D7162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D7162" w:rsidRDefault="001D7162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1D7162" w:rsidRDefault="001D7162">
            <w:pPr>
              <w:pStyle w:val="ConsPlusNormal"/>
              <w:jc w:val="both"/>
            </w:pPr>
            <w:r>
              <w:rPr>
                <w:color w:val="392C69"/>
              </w:rPr>
              <w:t xml:space="preserve">П. 6 ст. 4 ФЗ от 10.07.2002 N 86-ФЗ утратил силу в связи с принятием ФЗ от 24.02.2021 </w:t>
            </w:r>
            <w:hyperlink r:id="rId6" w:history="1">
              <w:r>
                <w:rPr>
                  <w:color w:val="0000FF"/>
                </w:rPr>
                <w:t>N 20-ФЗ</w:t>
              </w:r>
            </w:hyperlink>
            <w:r>
              <w:rPr>
                <w:color w:val="392C69"/>
              </w:rPr>
              <w:t xml:space="preserve">. Об обслуживании Банком России банковских счетов Федерального казначейства см. </w:t>
            </w:r>
            <w:hyperlink r:id="rId7" w:history="1">
              <w:r>
                <w:rPr>
                  <w:color w:val="0000FF"/>
                </w:rPr>
                <w:t>ч. 5 ст. 23</w:t>
              </w:r>
            </w:hyperlink>
            <w:r>
              <w:rPr>
                <w:color w:val="392C69"/>
              </w:rPr>
              <w:t xml:space="preserve"> ФЗ от 10.07.2002 N 86-ФЗ.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D7162" w:rsidRDefault="001D7162"/>
        </w:tc>
      </w:tr>
    </w:tbl>
    <w:p w:rsidR="001D7162" w:rsidRDefault="001D7162">
      <w:pPr>
        <w:pStyle w:val="ConsPlusNormal"/>
        <w:spacing w:before="280"/>
        <w:ind w:firstLine="540"/>
        <w:jc w:val="both"/>
      </w:pPr>
      <w:r>
        <w:t xml:space="preserve">Настоящее Положение на основании </w:t>
      </w:r>
      <w:hyperlink r:id="rId8" w:history="1">
        <w:r>
          <w:rPr>
            <w:color w:val="0000FF"/>
          </w:rPr>
          <w:t>пункта 2 статьи 155</w:t>
        </w:r>
      </w:hyperlink>
      <w:r>
        <w:t xml:space="preserve">, </w:t>
      </w:r>
      <w:hyperlink r:id="rId9" w:history="1">
        <w:r>
          <w:rPr>
            <w:color w:val="0000FF"/>
          </w:rPr>
          <w:t>пунктов 2</w:t>
        </w:r>
      </w:hyperlink>
      <w:r>
        <w:t xml:space="preserve"> и </w:t>
      </w:r>
      <w:hyperlink r:id="rId10" w:history="1">
        <w:r>
          <w:rPr>
            <w:color w:val="0000FF"/>
          </w:rPr>
          <w:t>4 статьи 156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2020, N 31, ст. 5022), </w:t>
      </w:r>
      <w:hyperlink r:id="rId11" w:history="1">
        <w:r>
          <w:rPr>
            <w:color w:val="0000FF"/>
          </w:rPr>
          <w:t>пунктов 5</w:t>
        </w:r>
      </w:hyperlink>
      <w:r>
        <w:t xml:space="preserve"> и 6 статьи 4 Федерального закона от 10 июля 2002 года N 86-ФЗ "О Центральном банке Российской Федерации (Банке России)" (Собрание законодательства Российской Федерации, 2002, N 28, ст. 2790; 2020, N 31, ст. 5018) и в соответствии с решением Совета директоров Банка России (протокол заседания Совета директоров Банка России от 18 сентября 2020 года N ПСД-21) устанавливает порядок ведения Банком России и кредитными организациями (филиалами) банковских счетов территориальных органов Федерального казначейства.</w:t>
      </w:r>
    </w:p>
    <w:p w:rsidR="001D7162" w:rsidRDefault="001D7162">
      <w:pPr>
        <w:pStyle w:val="ConsPlusNormal"/>
        <w:jc w:val="both"/>
      </w:pPr>
    </w:p>
    <w:p w:rsidR="001D7162" w:rsidRDefault="001D7162">
      <w:pPr>
        <w:pStyle w:val="ConsPlusTitle"/>
        <w:ind w:firstLine="540"/>
        <w:jc w:val="both"/>
        <w:outlineLvl w:val="0"/>
      </w:pPr>
      <w:r>
        <w:t>Глава 1. Расчетное обслуживание банковских счетов</w:t>
      </w:r>
    </w:p>
    <w:p w:rsidR="001D7162" w:rsidRDefault="001D7162">
      <w:pPr>
        <w:pStyle w:val="ConsPlusNormal"/>
        <w:jc w:val="both"/>
      </w:pPr>
    </w:p>
    <w:p w:rsidR="001D7162" w:rsidRDefault="001D7162">
      <w:pPr>
        <w:pStyle w:val="ConsPlusNormal"/>
        <w:ind w:firstLine="540"/>
        <w:jc w:val="both"/>
      </w:pPr>
      <w:r>
        <w:t xml:space="preserve">1.1. Платежные поручения, представляемые в Банк России и кредитные организации (далее при совместном упоминании - банки), плательщиками по которым являются организации, лицевые счета которым открыты в территориальных органах Федерального казначейства, финансовых органах субъектов Российской Федерации (муниципальных образований) (далее - финансовые органы), органах управления государственными внебюджетными фондами Российской Федерации (далее соответственно - органы управления внебюджетными фондами, организации) в условиях открытия территориальным органам Федерального казначейства, финансовым органам, органам управления внебюджетными фондами казначейских счетов в соответствии с бюджетным законодательством Российской Федерации, заполняются по каждой организации в соответствии с правилами, установленными </w:t>
      </w:r>
      <w:hyperlink r:id="rId12" w:history="1">
        <w:r>
          <w:rPr>
            <w:color w:val="0000FF"/>
          </w:rPr>
          <w:t>Положением</w:t>
        </w:r>
      </w:hyperlink>
      <w:r>
        <w:t xml:space="preserve"> Банка России от 19 июня 2012 года N 383-П "О правилах осуществления перевода денежных средств", зарегистрированным Министерством юстиции Российской Федерации 22 июня 2012 года N 24667, 14 августа 2013 года N 29387, 19 мая 2014 года N 32323, 11 июня 2015 года N 37649, 27 января 2016 года N 40831, 31 июля 2017 года N 47578, 24 декабря 2018 года N 53109 (далее - Положение Банка России N 383-П), с учетом следующего.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1.1.1. В реквизите "ИНН" плательщика указывается идентификационный номер налогоплательщика (далее - ИНН) организации.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lastRenderedPageBreak/>
        <w:t>1.1.2. В реквизите "КПП" плательщика указывается код причины постановки на налоговый учет (далее - КПП) организации. При отсутствии у организации КПП в реквизите "КПП" плательщика указывается значение "0" (ноль).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1.1.3. В случае осуществления перевода денежных средств с банковского счета, входящего в состав единого казначейского счета, открытого территориальному органу Федерального казначейства, платежные поручения заполняются с учетом следующего.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1.1.3.1. В реквизите "</w:t>
      </w:r>
      <w:proofErr w:type="spellStart"/>
      <w:r>
        <w:t>Сч</w:t>
      </w:r>
      <w:proofErr w:type="spellEnd"/>
      <w:r>
        <w:t>. N" плательщика указывается номер казначейского счета, открытый территориальному органу Федерального казначейства, финансовому органу, органу управления внебюджетным фондом в территориальном органе Федерального казначейства, который состоит из двадцати цифр и начинается с цифры "0".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1.1.3.2. В реквизите "Банк плательщика" указываются наименование банка плательщика, обслуживающего территориальный орган Федерального казначейства, знак "//", сокращенное наименование и место нахождения территориального органа Федерального казначейства.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1.1.3.3. В реквизите "БИК" банка плательщика указывается банковский идентификационный код (далее - БИК) территориального органа Федерального казначейства.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1.1.3.4. В реквизите "</w:t>
      </w:r>
      <w:proofErr w:type="spellStart"/>
      <w:r>
        <w:t>Сч</w:t>
      </w:r>
      <w:proofErr w:type="spellEnd"/>
      <w:r>
        <w:t>. N" банка плательщика указывается номер банковского счета, входящего в состав единого казначейского счета, открытого территориальному органу Федерального казначейства.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1.1.3.5. В реквизите "Плательщик" указываются: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в случае если казначейский счет открыт территориальному органу Федерального казначейства - полное или сокращенное наименование территориального органа Федерального казначейства, в скобках полное или сокращенное наименование организации;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в случае если казначейский счет открыт финансовому органу, органу управления внебюджетным фондом - полное или сокращенное наименование финансового органа, органа управления внебюджетным фондом, в скобках полное или сокращенное наименование организации.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Банки не осуществляют контроль за наличием и содержанием информации, указанной в скобках в реквизите "Плательщик" платежного поручения.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1.1.4. В случае осуществления перевода денежных средств с банковского счета, предназначенного для выдачи и внесения наличных денег, не входящего в состав единого казначейского счета, открытого территориальному органу Федерального казначейства (далее - банковский счет, предназначенный для выдачи и внесения наличных денег), платежные поручения заполняются с учетом следующего.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1.1.4.1. В реквизите "</w:t>
      </w:r>
      <w:proofErr w:type="spellStart"/>
      <w:r>
        <w:t>Сч</w:t>
      </w:r>
      <w:proofErr w:type="spellEnd"/>
      <w:r>
        <w:t>. N" плательщика указывается номер банковского счета, предназначенного для выдачи и внесения наличных денег.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1.1.4.2. В реквизите "Плательщик" указываются: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в случае если лицевой счет организации открыт в территориальном органе Федерального казначейства - полное или сокращенное наименование территориального органа Федерального казначейства, в скобках полное или сокращенное наименование организации;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в случае если лицевой счет организации открыт в финансовом органе, органе управления внебюджетным фондом - полное или сокращенное наименование территориального органа Федерального казначейства, в скобках полное или сокращенное наименование организации.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lastRenderedPageBreak/>
        <w:t>Банки не осуществляют контроль за наличием и содержанием информации, указанной в скобках в реквизите "Плательщик" платежного поручения.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1.1.5. В реквизите 104 указывается: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когда получателем по платежному поручению является участник бюджетного процесса - код бюджетной классификации Российской Федерации, в соответствии с которым поступления подлежат отражению в бюджетном учете бюджетополучателя, являющегося получателем средств;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когда получателем по платежному поручению является </w:t>
      </w:r>
      <w:proofErr w:type="spellStart"/>
      <w:r>
        <w:t>неучастник</w:t>
      </w:r>
      <w:proofErr w:type="spellEnd"/>
      <w:r>
        <w:t xml:space="preserve"> бюджетного процесса - двадцатизначный код операции, содержащий в 1 - 17 разрядах нули, в 18 - 20 разрядах код, по которому в соответствии с бюджетным законодательством Российской Федерации операции, осуществляемые </w:t>
      </w:r>
      <w:proofErr w:type="spellStart"/>
      <w:r>
        <w:t>неучастником</w:t>
      </w:r>
      <w:proofErr w:type="spellEnd"/>
      <w:r>
        <w:t xml:space="preserve"> бюджетного процесса, отражаются на соответствующем лицевом счете, открытом ему в территориальном органе Федерального казначейства или финансовом органе (далее - код операции).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В случае если в соответствии с законодательством Российской Федерации проводимая операция не подлежит учету по кодам бюджетной классификации Российской Федерации (кодам операций) на лицевом счете, открытом организации, являющейся получателем по платежному поручению, в территориальном органе Федерального казначейства, финансовом органе, органе управления внебюджетным фондом, в реквизите 104 указывается значение "0" (ноль).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1.1.6. В реквизите "Назначение платежа" перед текстовым указанием назначения платежа в скобках приводится информация в целях соблюдения порядка казначейского обслуживания, установленного Федеральным казначейством в соответствии со </w:t>
      </w:r>
      <w:hyperlink r:id="rId13" w:history="1">
        <w:r>
          <w:rPr>
            <w:color w:val="0000FF"/>
          </w:rPr>
          <w:t>статьей 166.1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2019, N 52, ст. 7797) (далее - информация в целях соблюдения порядка казначейского обслуживания), а также информация в целях соблюдения порядка исполнения бюджета по расходам, установленного финансовым органом или органом управления внебюджетным фондом в соответствии с </w:t>
      </w:r>
      <w:hyperlink r:id="rId14" w:history="1">
        <w:r>
          <w:rPr>
            <w:color w:val="0000FF"/>
          </w:rPr>
          <w:t>пунктом 1 статьи 219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2020, N 14, ст. 2001) (далее - информация в целях соблюдения порядка исполнения бюджета по расходам).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Банки не осуществляют контроль за наличием и содержанием информации, указанной в скобках в реквизите "Назначение платежа" платежного поручения.</w:t>
      </w:r>
    </w:p>
    <w:p w:rsidR="001D7162" w:rsidRDefault="001D716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1.1.6 в ред. </w:t>
      </w:r>
      <w:hyperlink r:id="rId15" w:history="1">
        <w:r>
          <w:rPr>
            <w:color w:val="0000FF"/>
          </w:rPr>
          <w:t>Указания</w:t>
        </w:r>
      </w:hyperlink>
      <w:r>
        <w:t xml:space="preserve"> Банка России от 25.03.2021 N 5755-У)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1.1.7. В случае осуществления перевода денежных средств в адрес кредитной организации, лицензия на осуществление банковских операций у которой отозвана, в период после отзыва у нее лицензии на осуществление банковских операций и до дня вступления в силу решения арбитражного суда о признании кредитной организации несостоятельной (банкротом) или о ее ликвидации платежные поручения о переводе денежных средств по основаниям, указанным в </w:t>
      </w:r>
      <w:hyperlink r:id="rId16" w:history="1">
        <w:r>
          <w:rPr>
            <w:color w:val="0000FF"/>
          </w:rPr>
          <w:t>пункте 1 части тринадцатой статьи 20</w:t>
        </w:r>
      </w:hyperlink>
      <w:r>
        <w:t xml:space="preserve"> Федерального закона "О банках и банковской деятельности" (в редакции Федерального закона от 3 февраля 1996 года N 17-ФЗ) (Ведомости Съезда народных депутатов РСФСР и Верховного Совета РСФСР, 1990, N 27, ст. 357; Собрание законодательства Российской Федерации, 1996, N 6, ст. 492; 2019, N 52, ст. 7825), заполняются в соответствии с правилами, установленными </w:t>
      </w:r>
      <w:hyperlink r:id="rId17" w:history="1">
        <w:r>
          <w:rPr>
            <w:color w:val="0000FF"/>
          </w:rPr>
          <w:t>Положением</w:t>
        </w:r>
      </w:hyperlink>
      <w:r>
        <w:t xml:space="preserve"> Банка России N 383-П, при этом в реквизите "Получатель" указывается наименование кредитной организации, у которой отозвана лицензия на осуществление банковских операций, в реквизите "Счет N" получателя значение не указывается.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1.2. Платежные поручения, получателями по которым являются организации, и инкассовые поручения, предъявляемые к счетам должников этих организаций (далее - инкассовые поручения), заполняются в соответствии с правилами, установленными </w:t>
      </w:r>
      <w:hyperlink r:id="rId18" w:history="1">
        <w:r>
          <w:rPr>
            <w:color w:val="0000FF"/>
          </w:rPr>
          <w:t>Положением</w:t>
        </w:r>
      </w:hyperlink>
      <w:r>
        <w:t xml:space="preserve"> Банка России N 383-П, с учетом следующего.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lastRenderedPageBreak/>
        <w:t>1.2.1. В реквизите "ИНН" получателя указывается ИНН организации.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1.2.2. В реквизите "КПП" получателя указывается КПП организации. При отсутствии у организации КПП в реквизите "КПП" получателя указывается значение "0" (ноль).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1.2.3. В случае осуществления перевода денежных средств на банковский счет, входящий в состав единого казначейского счета, открытого территориальному органу Федерального казначейства, платежные поручения, инкассовые поручения, получателями по которым являются организации, заполняются с учетом следующего.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1.2.3.1. В реквизите "</w:t>
      </w:r>
      <w:proofErr w:type="spellStart"/>
      <w:r>
        <w:t>Сч</w:t>
      </w:r>
      <w:proofErr w:type="spellEnd"/>
      <w:r>
        <w:t>. N" получателя средств указывается номер казначейского счета, открытый территориальному органу Федерального казначейства, финансовому органу, органу управления внебюджетным фондом в территориальном органе Федерального казначейства, который состоит из двадцати цифр и начинается с цифры "0".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1.2.3.2. В реквизите "Банк получателя" указываются наименование банка получателя, обслуживающего территориальный орган Федерального казначейства, знак "//", сокращенное наименование и место нахождения территориального органа Федерального казначейства.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1.2.3.3. В реквизите "БИК" банка получателя указывается БИК территориального органа Федерального казначейства.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1.2.3.4. В реквизите "</w:t>
      </w:r>
      <w:proofErr w:type="spellStart"/>
      <w:r>
        <w:t>Сч</w:t>
      </w:r>
      <w:proofErr w:type="spellEnd"/>
      <w:r>
        <w:t>. N" банка получателя указывается номер банковского счета, входящего в состав единого казначейского счета, открытого территориальному органу Федерального казначейства.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1.2.3.5. В реквизите "Получатель" указываются: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в случае если казначейский счет открыт территориальному органу Федерального казначейства - полное или сокращенное наименование территориального органа Федерального казначейства, в скобках полное или сокращенное наименование организации, а также номер лицевого счета организации;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в случае если казначейский счет открыт финансовому органу, органу управления внебюджетным фондом - полное или сокращенное наименование финансового органа, органа управления внебюджетным фондом, в скобках полное или сокращенное наименование организации, а также: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номер лицевого счета организации, если указанный счет открыт в территориальном органе Федерального казначейства;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номер лицевого счета финансового органа или органа управления внебюджетным фондом, если лицевой счет организации открыт в финансовом органе или органе управления внебюджетным фондом.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При перечислении платежей, являющихся в соответствии с бюджетным законодательством Российской Федерации доходами, полученными от приносящей доход деятельности, предусмотренными </w:t>
      </w:r>
      <w:hyperlink r:id="rId19" w:history="1">
        <w:r>
          <w:rPr>
            <w:color w:val="0000FF"/>
          </w:rPr>
          <w:t>пунктом 10 статьи 241</w:t>
        </w:r>
      </w:hyperlink>
      <w:r>
        <w:t xml:space="preserve"> Бюджетного кодекса Российской Федерации, на финансовое обеспечение осуществления функций бюджетополучателя сверх бюджетных ассигнований, предусмотренных ему в федеральном бюджете (далее - источник дополнительного бюджетного финансирования), в реквизите "Получатель" указываются полное или сокращенное наименование территориального органа Федерального казначейства, в скобках сокращенное наименование администратора доходов бюджета, осуществляющего администрирование указанного платежа в соответствии с законодательством Российской Федерации, а также номер лицевого счета организации.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lastRenderedPageBreak/>
        <w:t>Банки не осуществляют контроль за наличием и содержанием информации, указанной в скобках в реквизите "Получатель" платежного поручения, инкассового поручения.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1.2.4. В случае осуществления перевода денежных средств на банковский счет, предназначенный для выдачи и внесения наличных денег, платежные поручения заполняются с учетом следующего.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1.2.4.1. В реквизите "</w:t>
      </w:r>
      <w:proofErr w:type="spellStart"/>
      <w:r>
        <w:t>Сч</w:t>
      </w:r>
      <w:proofErr w:type="spellEnd"/>
      <w:r>
        <w:t>. N" получателя средств указывается номер банковского счета, предназначенного для выдачи и внесения наличных денег.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1.2.4.2. В реквизите "Получатель" указываются: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в случае если лицевой счет организации открыт в территориальном органе Федерального казначейства - полное или сокращенное наименование территориального органа Федерального казначейства, в скобках полное или сокращенное наименование организации;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в случае если лицевой счет организации открыт в финансовом органе, органе управления внебюджетным фондом - полное или сокращенное наименование территориального органа Федерального казначейства, в скобках полное или сокращенное наименование организации.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Банки не осуществляют контроль за наличием и содержанием информации, указанной в скобках в реквизите "Получатель" платежного поручения.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1.2.5. В реквизите 104 указывается: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когда получателем по платежному поручению является бюджетополучатель - код бюджетной классификации Российской Федерации, в соответствии с которым поступления подлежат отражению в бюджетном учете бюджетополучателя, являющегося получателем средств;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когда получателем по платежному поручению является </w:t>
      </w:r>
      <w:proofErr w:type="spellStart"/>
      <w:r>
        <w:t>неучастник</w:t>
      </w:r>
      <w:proofErr w:type="spellEnd"/>
      <w:r>
        <w:t xml:space="preserve"> бюджетного процесса, лицевой счет которого открыт в территориальном органе Федерального казначейства или финансовом органе - код операции.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В случае если в соответствии с законодательством Российской Федерации проводимая операция не подлежит учету по коду бюджетной классификации Российской Федерации (коду операции) на лицевом счете, открытом организации, являющейся получателем по платежному поручению, в территориальном органе Федерального казначейства, финансовом органе, органе управления внебюджетным фондом, в реквизите 104 указывается значение "0" (ноль).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1.2.6. В реквизите "Назначение платежа" платежного поручения перед текстовым указанием назначения платежа в скобках проставляется код бюджетной классификации Российской Федерации (код операции) (за исключением операций, которые в соответствии с законодательством Российской Федерации не подлежат учету по кодам бюджетной классификации Российской Федерации), затем приводится информация в целях соблюдения порядка исполнения бюджета по расходам. При перечислении платежей, являющихся в соответствии с бюджетным законодательством Российской Федерации источником дополнительного бюджетного финансирования, в реквизите "Назначение платежа" платежного поручения указываются номер и дата заключенного организацией договора на оказание услуг (выполнение работ, поставку товаров) или иного документа на получение указанных средств.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Банки не осуществляют контроль за наличием и содержанием информации, указанной в скобках в реквизите "Назначение платежа" платежного поручения.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1.3. При казначейском сопровождении средств по договорам (соглашениям), государственным контрактам, а также контрактам, договорам, соглашениям, заключенным в рамках их исполнения, идентификатор договора (соглашения), государственного контракта, </w:t>
      </w:r>
      <w:r>
        <w:lastRenderedPageBreak/>
        <w:t>контракта указывается в реквизите "Код" платежного поручения (в случае перечисления платежей в бюджеты бюджетной системы Российской Федерации указывается в реквизите "Назначение платежа" платежного поручения перед текстовым указанием назначения платежа и отделяется знаком "//").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Банки не осуществляют контроль за наличием и содержанием идентификатора договора (соглашения), государственного контракта, контракта.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1.4. На платежных поручениях, представляемых в Банк России и кредитные организации, плательщиками по которым являются организации, в случае их оформления на бумажном носителе ставятся подписи должностных лиц территориального органа Федерального казначейства, наделенных правом подписи, и печать территориального органа Федерального казначейства в соответствии с карточкой с образцами подписей и оттиска печати.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1.5. Платежные поручения о переводе денежных средств в уплату налогов, сборов и иных платежей в бюджетную систему Российской Федерации, платежные поручения о переводе денежных средств для осуществления платежей, являющихся в соответствии с бюджетным законодательством Российской Федерации источником дополнительного бюджетного финансирования организации, заполняются отдельно по каждой организации в соответствии с правилами, установленными </w:t>
      </w:r>
      <w:hyperlink r:id="rId20" w:history="1">
        <w:r>
          <w:rPr>
            <w:color w:val="0000FF"/>
          </w:rPr>
          <w:t>Положением</w:t>
        </w:r>
      </w:hyperlink>
      <w:r>
        <w:t xml:space="preserve"> Банка России N 383-П, с учетом положений, установленных </w:t>
      </w:r>
      <w:hyperlink r:id="rId21" w:history="1">
        <w:r>
          <w:rPr>
            <w:color w:val="0000FF"/>
          </w:rPr>
          <w:t>приказом</w:t>
        </w:r>
      </w:hyperlink>
      <w:r>
        <w:t xml:space="preserve"> Министерства финансов Российской Федерации от 12 ноября 2013 года N 107н "Об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Федерации", зарегистрированным Министерством юстиции Российской Федерации 30 декабря 2013 года N 30913, 2 декабря 2014 года N 35053, 27 ноября 2015 года N 39883, 13 апреля 2017 года N 46369, и настоящим Положением.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Платежные поручения о переводе денежных средств для осуществления платежей, являющихся в соответствии с бюджетным законодательством Российской Федерации источником дополнительного бюджетного финансирования организации, заполняются с учетом следующего: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в реквизите "Получатель" указываются сокращенное наименование территориального органа Федерального казначейства, в скобках сокращенное наименование администратора доходов бюджета, осуществляющего администрирование платежа в соответствии с законодательством Российской Федерации, а также номер лицевого счета организации;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в реквизите "Назначение платежа" указываются номер и дата заключенного организацией договора на оказание услуг (выполнение работ, поставку товаров) или иного документа на получение указанных средств.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1.6. Банки обеспечивают контроль наличия значений, количества и допустимости символов в значениях реквизитов "ИНН" плательщика, "ИНН" получателя, "КПП" плательщика, "КПП" получателя, 104 платежного поручения в соответствии с </w:t>
      </w:r>
      <w:hyperlink r:id="rId22" w:history="1">
        <w:r>
          <w:rPr>
            <w:color w:val="0000FF"/>
          </w:rPr>
          <w:t>Положением</w:t>
        </w:r>
      </w:hyperlink>
      <w:r>
        <w:t xml:space="preserve"> Банка России N 383-П.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1.7. Платежные поручения, плательщиками (получателями) по которым являются территориальные органы Федерального казначейства, обеспечивающие осуществление предусмотренных </w:t>
      </w:r>
      <w:hyperlink r:id="rId23" w:history="1">
        <w:r>
          <w:rPr>
            <w:color w:val="0000FF"/>
          </w:rPr>
          <w:t>статьей 242.13</w:t>
        </w:r>
      </w:hyperlink>
      <w:r>
        <w:t xml:space="preserve"> Бюджетного кодекса Российской Федерации операций по управлению остатками средств на едином казначейском счете, открытом территориальному органу Федерального казначейства, заполняются в соответствии с правилами, установленными </w:t>
      </w:r>
      <w:hyperlink r:id="rId24" w:history="1">
        <w:r>
          <w:rPr>
            <w:color w:val="0000FF"/>
          </w:rPr>
          <w:t>Положением</w:t>
        </w:r>
      </w:hyperlink>
      <w:r>
        <w:t xml:space="preserve"> Банка России N 383-П, с учетом следующего.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1.7.1. В реквизите "</w:t>
      </w:r>
      <w:proofErr w:type="spellStart"/>
      <w:r>
        <w:t>Сч</w:t>
      </w:r>
      <w:proofErr w:type="spellEnd"/>
      <w:r>
        <w:t>. N" плательщика ("</w:t>
      </w:r>
      <w:proofErr w:type="spellStart"/>
      <w:r>
        <w:t>Сч</w:t>
      </w:r>
      <w:proofErr w:type="spellEnd"/>
      <w:r>
        <w:t>. N" получателя средств) указывается значение, которое состоит из двадцати цифр и начинается с цифры "0".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1.7.2. В реквизите "Банк плательщика" ("Банк получателя") указывается наименование банка плательщика и (или) банка получателя, обслуживающих территориальный орган Федерального </w:t>
      </w:r>
      <w:r>
        <w:lastRenderedPageBreak/>
        <w:t>казначейства, знак "//", сокращенное наименование и место нахождения территориального органа Федерального казначейства.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1.7.3. В реквизите "БИК" банка плательщика ("БИК" банка получателя) указывается БИК территориального органа Федерального казначейства.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1.7.4. В реквизите "</w:t>
      </w:r>
      <w:proofErr w:type="spellStart"/>
      <w:r>
        <w:t>Сч</w:t>
      </w:r>
      <w:proofErr w:type="spellEnd"/>
      <w:r>
        <w:t>. N" банка плательщика ("</w:t>
      </w:r>
      <w:proofErr w:type="spellStart"/>
      <w:r>
        <w:t>Сч</w:t>
      </w:r>
      <w:proofErr w:type="spellEnd"/>
      <w:r>
        <w:t>. N" банка получателя) указывается номер банковского счета в составе единого казначейского счета, открытого территориальному органу Федерального казначейства.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1.7.5. На платежных поручениях, плательщиками по которым являются территориальные органы Федерального казначейства, осуществляющие предусмотренные </w:t>
      </w:r>
      <w:hyperlink r:id="rId25" w:history="1">
        <w:r>
          <w:rPr>
            <w:color w:val="0000FF"/>
          </w:rPr>
          <w:t>статьей 242.13</w:t>
        </w:r>
      </w:hyperlink>
      <w:r>
        <w:t xml:space="preserve"> Бюджетного кодекса Российской Федерации операции по управлению остатками средств на едином казначейском счете, открытом территориальному органу Федерального казначейства, в случае их оформления на бумажном носителе ставятся подписи должностных лиц территориального органа Федерального казначейства, наделенных правом подписи, и печать территориального органа Федерального казначейства в соответствии с карточкой с образцами подписей и оттиска печати.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1.8. Банки при изменении реквизитов банковских счетов территориальных органов Федерального казначейства осуществляют работу с принятыми к исполнению распоряжениями о переводе денежных средств (далее - распоряжения), в которых изменяются эти реквизиты, в электронном виде, на бумажных носителях в порядке, аналогичном порядку, предусмотренному </w:t>
      </w:r>
      <w:hyperlink r:id="rId26" w:history="1">
        <w:r>
          <w:rPr>
            <w:color w:val="0000FF"/>
          </w:rPr>
          <w:t>Указанием</w:t>
        </w:r>
      </w:hyperlink>
      <w:r>
        <w:t xml:space="preserve"> Банка России от 24 декабря 2012 года N 2946-У "О работе с распоряжениями о переводе денежных средств при изменении реквизитов банков, их клиентов", зарегистрированным Министерством юстиции Российской Федерации 18 февраля 2013 года N 27153, 2 ноября 2018 года N 52601, на основании информации о новых реквизитах банковских счетов, входящих в состав единого казначейского счета, открытого территориальному органу Федерального казначейства, и о соответствующих им прежних реквизитах, полученной от Банка России, с учетом следующего.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1.8.1. При составлении платежного ордера: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в реквизитах "Плательщик", "Получатель" указывается (переносится из соответствующих реквизитов распоряжения, по которому осуществляется исполнение) информация об организации;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в реквизитах "</w:t>
      </w:r>
      <w:proofErr w:type="spellStart"/>
      <w:r>
        <w:t>Сч</w:t>
      </w:r>
      <w:proofErr w:type="spellEnd"/>
      <w:r>
        <w:t>. N" плательщика, "</w:t>
      </w:r>
      <w:proofErr w:type="spellStart"/>
      <w:r>
        <w:t>Сч</w:t>
      </w:r>
      <w:proofErr w:type="spellEnd"/>
      <w:r>
        <w:t>. N" получателя средств указывается номер казначейского счета, открытый в территориальном органе Федерального казначейства, который состоит из двадцати цифр и начинается с цифры "0";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в реквизитах "Банк плательщика", "Банк получателя" указываются наименование банка плательщика и (или) банка получателя, обслуживающих территориальный орган Федерального казначейства, знак "//", сокращенное наименование и место нахождения территориального органа Федерального казначейства;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в реквизитах "БИК" банка плательщика, "БИК" банка получателя указывается БИК территориального органа Федерального казначейства;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в реквизитах "</w:t>
      </w:r>
      <w:proofErr w:type="spellStart"/>
      <w:r>
        <w:t>Сч</w:t>
      </w:r>
      <w:proofErr w:type="spellEnd"/>
      <w:r>
        <w:t>. N" банка плательщика, "</w:t>
      </w:r>
      <w:proofErr w:type="spellStart"/>
      <w:r>
        <w:t>Сч</w:t>
      </w:r>
      <w:proofErr w:type="spellEnd"/>
      <w:r>
        <w:t>. N" банка получателя указывается номер банковского счета, входящего в состав единого казначейского счета, открытого территориальному органу Федерального казначейства.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1.8.2. При затруднении идентификации получателем средств, организацией распоряжения, на основании которого поступили денежные средства в соответствии с новыми реквизитами, банк получателя, территориальный орган Федерального казначейства направляют в банк плательщика, территориальный орган Федерального казначейства запрос в электронном виде или на бумажном носителе в произвольной форме. По получении ответа банк получателя средств уведомляет об этом </w:t>
      </w:r>
      <w:r>
        <w:lastRenderedPageBreak/>
        <w:t>получателя средств, территориальный орган Федерального казначейства - организацию.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1.9. Расчетное обслуживание банковских счетов по операциям в иностранной валюте, проводимым банками в соответствии с договором банковского счета, осуществляется с учетом настоящего Положения.</w:t>
      </w:r>
    </w:p>
    <w:p w:rsidR="001D7162" w:rsidRDefault="001D7162">
      <w:pPr>
        <w:pStyle w:val="ConsPlusNormal"/>
        <w:jc w:val="both"/>
      </w:pPr>
    </w:p>
    <w:p w:rsidR="001D7162" w:rsidRDefault="001D7162">
      <w:pPr>
        <w:pStyle w:val="ConsPlusTitle"/>
        <w:ind w:firstLine="540"/>
        <w:jc w:val="both"/>
        <w:outlineLvl w:val="0"/>
      </w:pPr>
      <w:r>
        <w:t>Глава 2. Кассовое обслуживание банковских счетов</w:t>
      </w:r>
    </w:p>
    <w:p w:rsidR="001D7162" w:rsidRDefault="001D7162">
      <w:pPr>
        <w:pStyle w:val="ConsPlusNormal"/>
        <w:jc w:val="both"/>
      </w:pPr>
    </w:p>
    <w:p w:rsidR="001D7162" w:rsidRDefault="001D7162">
      <w:pPr>
        <w:pStyle w:val="ConsPlusNormal"/>
        <w:ind w:firstLine="540"/>
        <w:jc w:val="both"/>
      </w:pPr>
      <w:r>
        <w:t>2.1. При открытии территориальным органам Федерального казначейства банковских счетов, предназначенных для выдачи и внесения наличных денег, территориальные органы Федерального казначейства представляют в банки списки организаций (далее - Списки).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В Списках указываются сроки выплаты заработной платы по каждой организации.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Списки подписываются должностными лицами территориального органа Федерального казначейства, наделенными правом подписи, и заверяются оттиском печати территориального органа Федерального казначейства.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При изменении состава организаций и (или) сроков выплаты заработной платы территориальные органы Федерального казначейства представляют в банки уточненные Списки.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2.2. Выдача наличных денег организациям производится в соответствии с требованиями, установленными </w:t>
      </w:r>
      <w:hyperlink r:id="rId27" w:history="1">
        <w:r>
          <w:rPr>
            <w:color w:val="0000FF"/>
          </w:rPr>
          <w:t>Указанием</w:t>
        </w:r>
      </w:hyperlink>
      <w:r>
        <w:t xml:space="preserve"> Банка России от 12 февраля 2019 года N 5071-У "О правилах проведения кассового обслуживания Банком России кредитных организаций и юридических лиц, не являющихся кредитными организациями", зарегистрированным Министерством юстиции Российской Федерации 15 мая 2019 года N 54632, 9 апреля 2020 года N 58041 (далее - Указание Банка России N 5071-У), </w:t>
      </w:r>
      <w:hyperlink r:id="rId28" w:history="1">
        <w:r>
          <w:rPr>
            <w:color w:val="0000FF"/>
          </w:rPr>
          <w:t>Положением</w:t>
        </w:r>
      </w:hyperlink>
      <w:r>
        <w:t xml:space="preserve"> Банка России от 29 января 2018 года N 630-П "О порядке ведения кассовых операций и правилах хранения, перевозки и инкассации банкнот и монеты Банка России в кредитных организациях на территории Российской Федерации", зарегистрированным Министерством юстиции Российской Федерации 18 июня 2018 года N 51359, 10 июня 2020 года N 58625 (далее - Положение Банка России N 630-П), и настоящим Положением, в пределах остатка денежных средств на банковском счете, предназначенном для выдачи и внесения наличных денег, имеющегося на начало операционного дня или, при возможности, на момент выдачи в соответствии с графиком кассового обслуживания организаций.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2.3. Подразделения Банка России выдают территориальным органам Федерального казначейства необходимое количество денежных чековых книжек для каждой организации в соответствии с </w:t>
      </w:r>
      <w:hyperlink r:id="rId29" w:history="1">
        <w:r>
          <w:rPr>
            <w:color w:val="0000FF"/>
          </w:rPr>
          <w:t>пунктом 11</w:t>
        </w:r>
      </w:hyperlink>
      <w:r>
        <w:t xml:space="preserve"> Указания Банка России N 5071-У.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Кредитные организации выдают территориальным органам Федерального казначейства необходимое количество денежных чековых книжек для каждой организации в соответствии с правилами документооборота по выдаче (продаже) денежных чековых книжек клиентам, утвержденными кредитными организациями в соответствии с </w:t>
      </w:r>
      <w:hyperlink r:id="rId30" w:history="1">
        <w:r>
          <w:rPr>
            <w:color w:val="0000FF"/>
          </w:rPr>
          <w:t>подпунктом 1.8.10 пункта 1.8 части III</w:t>
        </w:r>
      </w:hyperlink>
      <w:r>
        <w:t xml:space="preserve"> приложения к Положению Банка России от 27 февраля 2017 года N 579-П "О Плане счетов бухгалтерского учета для кредитных организаций и порядке его применения", зарегистрированному Министерством юстиции Российской Федерации 20 марта 2017 года N 46021, 20 июля 2017 года N 47474, 12 декабря 2017 года N 49220, 12 марта 2018 года N 50299, 3 декабря 2018 года N 52845, 16 января 2019 года N 53372, 26 марта 2019 года N 54165, 18 июня 2020 года N 58690 (далее - Положение Банка России N 579-П).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Бланки денежных чеков в выданных денежных чековых книжках должны иметь последовательную (сквозную) нумерацию.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Банки принимают денежные чековые книжки с оставшимися неиспользованными денежными чеками и корешками от территориального органа Федерального казначейства в случае: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lastRenderedPageBreak/>
        <w:t>закрытия лицевых счетов организации в территориальном органе Федерального казначейства, финансовом органе, органе управления внебюджетным фондом;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изменения наименования организации;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закрытия или изменения номеров банковских счетов, предназначенных для выдачи и внесения наличных денег.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2.4. Выдача наличных денег из кассы подразделения Банка России в случае представления территориальным органом Федерального казначейства в подразделение Банка России заявки на сдачу/получение наличных денег </w:t>
      </w:r>
      <w:hyperlink r:id="rId31" w:history="1">
        <w:r>
          <w:rPr>
            <w:color w:val="0000FF"/>
          </w:rPr>
          <w:t>0402108</w:t>
        </w:r>
      </w:hyperlink>
      <w:r>
        <w:t xml:space="preserve"> на бумажном носителе, из кассы кредитной организации представителям организаций осуществляется по денежному чеку, оформленному с учетом следующего.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На лицевой стороне денежного чека указываются полное или сокращенное наименование территориального органа Федерального казначейства, номер банковского счета, предназначенного для выдачи и внесения наличных денег, проставляются подписи должностных лиц территориального органа Федерального казначейства, наделенных правом подписи, и печать территориального органа Федерального казначейства в соответствии с карточкой с образцами подписей и оттиска печати.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На оборотной стороне денежного чека указываются данные паспорта или иного документа, удостоверяющего личность представителя организации, полное или сокращенное наименование организации, направления выдачи наличных денег (за исключением организаций, которые в установленных случаях по условиям своей деятельности не расшифровывают своих расходов), в реквизите "Подписи" проставляются подписи должностных лиц территориального органа Федерального казначейства, наделенных правом подписи, в соответствии с карточкой с образцами подписей и оттиска печати. При этом в реквизите "Цели расхода" ("Направление выдачи") указываются направления выдачи наличных денег в соответствии с символами отчетности по </w:t>
      </w:r>
      <w:hyperlink r:id="rId32" w:history="1">
        <w:r>
          <w:rPr>
            <w:color w:val="0000FF"/>
          </w:rPr>
          <w:t>форме 0409202</w:t>
        </w:r>
      </w:hyperlink>
      <w:r>
        <w:t xml:space="preserve"> "Отчет о наличном денежном обороте", установленной приложением 1 к Указанию Банка России от 8 октября 2018 года N 4927-У "О перечне, формах и порядке составления и представления форм отчетности кредитных организаций в Центральный банк Российской Федерации", зарегистрированному Министерством юстиции Российской Федерации 13 декабря 2018 года N 52992, 13 декабря 2019 года N 56796 (далее - отчет о наличном денежном обороте).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При приеме денежного чека работником подразделения Банка России осуществляется проверка его оформления на соответствие требованиям, установленным настоящим Положением, а также сверка наименования организации со Списком.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При приеме денежного чека работником кредитной организации осуществляется проверка его оформления на соответствие требованиям, установленным настоящим Положением, </w:t>
      </w:r>
      <w:hyperlink r:id="rId33" w:history="1">
        <w:r>
          <w:rPr>
            <w:color w:val="0000FF"/>
          </w:rPr>
          <w:t>пунктом 1.7</w:t>
        </w:r>
      </w:hyperlink>
      <w:r>
        <w:t xml:space="preserve">, </w:t>
      </w:r>
      <w:hyperlink r:id="rId34" w:history="1">
        <w:r>
          <w:rPr>
            <w:color w:val="0000FF"/>
          </w:rPr>
          <w:t>подпунктами 1.8.8</w:t>
        </w:r>
      </w:hyperlink>
      <w:r>
        <w:t xml:space="preserve"> и </w:t>
      </w:r>
      <w:hyperlink r:id="rId35" w:history="1">
        <w:r>
          <w:rPr>
            <w:color w:val="0000FF"/>
          </w:rPr>
          <w:t>1.8.9 пункта 1.8 части III</w:t>
        </w:r>
      </w:hyperlink>
      <w:r>
        <w:t xml:space="preserve"> приложения к Положению Банка России N 579-П, а также сверка наименования организации со Списком.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При представлении территориальными органами Федерального казначейства в кредитную организацию заявки в виде электронного документа, предусмотренной </w:t>
      </w:r>
      <w:hyperlink r:id="rId36" w:history="1">
        <w:r>
          <w:rPr>
            <w:color w:val="0000FF"/>
          </w:rPr>
          <w:t>абзацем седьмым пункта 2.3</w:t>
        </w:r>
      </w:hyperlink>
      <w:r>
        <w:t xml:space="preserve"> Положения Банка России N 630-П, или в подразделение Банка России заявки на сдачу/получение наличных денег </w:t>
      </w:r>
      <w:hyperlink r:id="rId37" w:history="1">
        <w:r>
          <w:rPr>
            <w:color w:val="0000FF"/>
          </w:rPr>
          <w:t>0402108</w:t>
        </w:r>
      </w:hyperlink>
      <w:r>
        <w:t xml:space="preserve"> в виде электронного документа выдача наличных денег из кассы подразделения Банка России, кассы кредитной организации представителю организации осуществляется по расходному кассовому ордеру </w:t>
      </w:r>
      <w:hyperlink r:id="rId38" w:history="1">
        <w:r>
          <w:rPr>
            <w:color w:val="0000FF"/>
          </w:rPr>
          <w:t>0402009</w:t>
        </w:r>
      </w:hyperlink>
      <w:r>
        <w:t>, формируемому работником банка, без представления денежного чека.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2.5. Прием в кассу кредитной организации наличных денег, сумок с наличными деньгами от представителей организаций (сумок с наличными деньгами от инкассаторских работников) осуществляется по объявлениям на взнос наличными </w:t>
      </w:r>
      <w:hyperlink r:id="rId39" w:history="1">
        <w:r>
          <w:rPr>
            <w:color w:val="0000FF"/>
          </w:rPr>
          <w:t>0402001</w:t>
        </w:r>
      </w:hyperlink>
      <w:r>
        <w:t xml:space="preserve"> (по препроводительным ведомостям </w:t>
      </w:r>
      <w:r>
        <w:lastRenderedPageBreak/>
        <w:t xml:space="preserve">к сумкам </w:t>
      </w:r>
      <w:hyperlink r:id="rId40" w:history="1">
        <w:r>
          <w:rPr>
            <w:color w:val="0000FF"/>
          </w:rPr>
          <w:t>0402300</w:t>
        </w:r>
      </w:hyperlink>
      <w:r>
        <w:t xml:space="preserve">) в соответствии с требованиями, установленными </w:t>
      </w:r>
      <w:hyperlink r:id="rId41" w:history="1">
        <w:r>
          <w:rPr>
            <w:color w:val="0000FF"/>
          </w:rPr>
          <w:t>Положением</w:t>
        </w:r>
      </w:hyperlink>
      <w:r>
        <w:t xml:space="preserve"> Банка России N 630-П и настоящим Положением, для зачисления на банковский счет, предназначенный для выдачи и внесения наличных денег.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Прием наличных денег в кассы подразделений Банка России от представителей организаций в случае представления территориальным органом Федерального казначейства заявки на сдачу/получение наличных денег </w:t>
      </w:r>
      <w:hyperlink r:id="rId42" w:history="1">
        <w:r>
          <w:rPr>
            <w:color w:val="0000FF"/>
          </w:rPr>
          <w:t>0402108</w:t>
        </w:r>
      </w:hyperlink>
      <w:r>
        <w:t xml:space="preserve"> на бумажном носителе осуществляется по объявлениям на взнос наличными </w:t>
      </w:r>
      <w:hyperlink r:id="rId43" w:history="1">
        <w:r>
          <w:rPr>
            <w:color w:val="0000FF"/>
          </w:rPr>
          <w:t>0402001</w:t>
        </w:r>
      </w:hyperlink>
      <w:r>
        <w:t xml:space="preserve"> в соответствии с требованиями, установленными </w:t>
      </w:r>
      <w:hyperlink r:id="rId44" w:history="1">
        <w:r>
          <w:rPr>
            <w:color w:val="0000FF"/>
          </w:rPr>
          <w:t>Указанием</w:t>
        </w:r>
      </w:hyperlink>
      <w:r>
        <w:t xml:space="preserve"> Банка России N 5071-У и настоящим Положением, для зачисления на банковский счет, предназначенный для выдачи и внесения наличных денег.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Объявление на взнос наличными </w:t>
      </w:r>
      <w:hyperlink r:id="rId45" w:history="1">
        <w:r>
          <w:rPr>
            <w:color w:val="0000FF"/>
          </w:rPr>
          <w:t>0402001</w:t>
        </w:r>
      </w:hyperlink>
      <w:r>
        <w:t xml:space="preserve">, препроводительная ведомость к сумке </w:t>
      </w:r>
      <w:hyperlink r:id="rId46" w:history="1">
        <w:r>
          <w:rPr>
            <w:color w:val="0000FF"/>
          </w:rPr>
          <w:t>0402300</w:t>
        </w:r>
      </w:hyperlink>
      <w:r>
        <w:t xml:space="preserve"> составляются по формам, установленным </w:t>
      </w:r>
      <w:hyperlink r:id="rId47" w:history="1">
        <w:r>
          <w:rPr>
            <w:color w:val="0000FF"/>
          </w:rPr>
          <w:t>Указанием</w:t>
        </w:r>
      </w:hyperlink>
      <w:r>
        <w:t xml:space="preserve"> Банка России от 30 июля 2014 года N 3352-У "О формах документов, применяемых кредитными организациями на территории Российской Федерации при осуществлении кассовых операций с банкнотами и монетой Банка России, банкнотами и монетой иностранных государств (группы иностранных государств), операций со слитками драгоценных металлов, и порядке их заполнения и оформления", зарегистрированным Министерством юстиции Российской Федерации 24 сентября 2014 года N 34110, и оформляются с учетом следующего.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2.5.1. В реквизите "От кого" объявления на взнос наличными </w:t>
      </w:r>
      <w:hyperlink r:id="rId48" w:history="1">
        <w:r>
          <w:rPr>
            <w:color w:val="0000FF"/>
          </w:rPr>
          <w:t>0402001</w:t>
        </w:r>
      </w:hyperlink>
      <w:r>
        <w:t xml:space="preserve">, препроводительной ведомости к сумке </w:t>
      </w:r>
      <w:hyperlink r:id="rId49" w:history="1">
        <w:r>
          <w:rPr>
            <w:color w:val="0000FF"/>
          </w:rPr>
          <w:t>0402300</w:t>
        </w:r>
      </w:hyperlink>
      <w:r>
        <w:t xml:space="preserve"> указываются фамилия, имя и отчество (последнее - при наличии) представителя организации, сдающего наличные деньги. В случае сдачи сумки с наличными деньгами инкассаторскими работниками в </w:t>
      </w:r>
      <w:hyperlink r:id="rId50" w:history="1">
        <w:r>
          <w:rPr>
            <w:color w:val="0000FF"/>
          </w:rPr>
          <w:t>реквизите</w:t>
        </w:r>
      </w:hyperlink>
      <w:r>
        <w:t xml:space="preserve"> "От кого" препроводительной ведомости к сумке 0402300 указывается полное или сокращенное наименование организации.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2.5.2. В реквизите "Получатель" объявления на взнос наличными </w:t>
      </w:r>
      <w:hyperlink r:id="rId51" w:history="1">
        <w:r>
          <w:rPr>
            <w:color w:val="0000FF"/>
          </w:rPr>
          <w:t>0402001</w:t>
        </w:r>
      </w:hyperlink>
      <w:r>
        <w:t xml:space="preserve">, препроводительной ведомости к сумке </w:t>
      </w:r>
      <w:hyperlink r:id="rId52" w:history="1">
        <w:r>
          <w:rPr>
            <w:color w:val="0000FF"/>
          </w:rPr>
          <w:t>0402300</w:t>
        </w:r>
      </w:hyperlink>
      <w:r>
        <w:t xml:space="preserve"> указываются полное или сокращенное наименование территориального органа Федерального казначейства, в скобках полное или сокращенное наименование организации, вносящей наличные деньги, администратора доходов бюджета в случае внесения организацией в соответствующий бюджет бюджетной системы Российской Федерации (далее - соответствующий бюджет) доходов от платных услуг, а также номер лицевого счета, открытого организации.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В случае внесения наличных денег, являющихся в соответствии с бюджетным законодательством Российской Федерации источником дополнительного бюджетного финансирования организации, в реквизите "Получатель" указываются полное или сокращенное наименование территориального органа Федерального казначейства, в скобках полное или сокращенное наименование администратора доходов бюджета, осуществляющего администрирование платежа в соответствии с бюджетным законодательством Российской Федерации, а также номер лицевого счета организации.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Банки не осуществляют контроль за наличием и содержанием информации, указываемой в скобках.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2.5.3. В реквизите "ИНН" объявления на взнос наличными </w:t>
      </w:r>
      <w:hyperlink r:id="rId53" w:history="1">
        <w:r>
          <w:rPr>
            <w:color w:val="0000FF"/>
          </w:rPr>
          <w:t>0402001</w:t>
        </w:r>
      </w:hyperlink>
      <w:r>
        <w:t xml:space="preserve">, препроводительной ведомости к сумке </w:t>
      </w:r>
      <w:hyperlink r:id="rId54" w:history="1">
        <w:r>
          <w:rPr>
            <w:color w:val="0000FF"/>
          </w:rPr>
          <w:t>0402300</w:t>
        </w:r>
      </w:hyperlink>
      <w:r>
        <w:t xml:space="preserve"> указываются: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ИНН организации;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ИНН администратора доходов бюджета в случае внесения организацией в соответствующий бюджет доходов от платных услуг;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ИНН организации - администратора доходов бюджета, осуществляющего администрирование платежа в соответствии с бюджетным законодательством Российской Федерации, в случае внесения наличных денег, являющихся в соответствии с бюджетным </w:t>
      </w:r>
      <w:r>
        <w:lastRenderedPageBreak/>
        <w:t>законодательством Российской Федерации источником дополнительного бюджетного финансирования организации.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Банки не осуществляют контроль за содержанием информации, указываемой в реквизите "ИНН".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2.5.4. В реквизите "Счет N" объявления на взнос наличными </w:t>
      </w:r>
      <w:hyperlink r:id="rId55" w:history="1">
        <w:r>
          <w:rPr>
            <w:color w:val="0000FF"/>
          </w:rPr>
          <w:t>0402001</w:t>
        </w:r>
      </w:hyperlink>
      <w:r>
        <w:t xml:space="preserve">, препроводительной ведомости к сумке </w:t>
      </w:r>
      <w:hyperlink r:id="rId56" w:history="1">
        <w:r>
          <w:rPr>
            <w:color w:val="0000FF"/>
          </w:rPr>
          <w:t>0402300</w:t>
        </w:r>
      </w:hyperlink>
      <w:r>
        <w:t xml:space="preserve"> указывается номер банковского счета, предназначенного для выдачи и внесения наличных денег.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2.5.5. В реквизите "Свободное поле" объявления на взнос наличными </w:t>
      </w:r>
      <w:hyperlink r:id="rId57" w:history="1">
        <w:r>
          <w:rPr>
            <w:color w:val="0000FF"/>
          </w:rPr>
          <w:t>0402001</w:t>
        </w:r>
      </w:hyperlink>
      <w:r>
        <w:t xml:space="preserve">, препроводительной ведомости к сумке </w:t>
      </w:r>
      <w:hyperlink r:id="rId58" w:history="1">
        <w:r>
          <w:rPr>
            <w:color w:val="0000FF"/>
          </w:rPr>
          <w:t>0402300</w:t>
        </w:r>
      </w:hyperlink>
      <w:r>
        <w:t xml:space="preserve"> указываются: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КПП организации (при наличии);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КПП администратора доходов бюджета в случае внесения организацией в соответствующий бюджет доходов от платных услуг;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КПП организации - администратора доходов бюджета, осуществляющего администрирование платежа в соответствии с бюджетным законодательством Российской Федерации, в случае внесения наличных денег, являющихся в соответствии с бюджетным законодательством Российской Федерации источником дополнительного бюджетного финансирования организации;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код территории муниципального образования (межселенной территории) в соответствии с Общероссийским </w:t>
      </w:r>
      <w:hyperlink r:id="rId59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 (ОКТМО) в случае внесения организацией в соответствующий бюджет доходов от платных услуг.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Банки не осуществляют контроль за содержанием информации, указываемой в реквизите "Свободное поле".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2.5.6. В реквизите "Источник поступления" объявления на взнос наличными </w:t>
      </w:r>
      <w:hyperlink r:id="rId60" w:history="1">
        <w:r>
          <w:rPr>
            <w:color w:val="0000FF"/>
          </w:rPr>
          <w:t>0402001</w:t>
        </w:r>
      </w:hyperlink>
      <w:r>
        <w:t xml:space="preserve">, препроводительной ведомости к сумке </w:t>
      </w:r>
      <w:hyperlink r:id="rId61" w:history="1">
        <w:r>
          <w:rPr>
            <w:color w:val="0000FF"/>
          </w:rPr>
          <w:t>0402300</w:t>
        </w:r>
      </w:hyperlink>
      <w:r>
        <w:t xml:space="preserve"> указываются: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источник поступления наличных денег в соответствии с символами отчета о наличном денежном обороте;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коды бюджетной классификации Российской Федерации (коды операций) (за исключением операций, которые в соответствии с законодательством Российской Федерации не подлежат учету по кодам бюджетной классификации Российской Федерации), по которым вносимые средства подлежат отражению на лицевом счете организации или лицевом счете администратора доходов бюджета в случае внесения организацией в соответствующий бюджет доходов от платных услуг, открытых в территориальном органе Федерального казначейства, финансовом органе, органе управления внебюджетным фондом;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информация в целях соблюдения порядка исполнения бюджета по расходам;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информация в целях соблюдения порядка казначейского обслуживания.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При внесении наличных денег, являющихся в соответствии с бюджетным законодательством Российской Федерации источником дополнительного бюджетного финансирования организации, в реквизите "Источник поступления" указываются код бюджетной классификации доходов (при этом все знаки одновременно не могут принимать значение "0" (ноль) и наименование вида средств - "средства дополнительного бюджетного финансирования".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Банки не осуществляют контроль за информацией, указываемой в реквизите "Источник </w:t>
      </w:r>
      <w:r>
        <w:lastRenderedPageBreak/>
        <w:t>поступления".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2.5.7. В реквизите "символ" объявления </w:t>
      </w:r>
      <w:hyperlink r:id="rId62" w:history="1">
        <w:r>
          <w:rPr>
            <w:color w:val="0000FF"/>
          </w:rPr>
          <w:t>0402001</w:t>
        </w:r>
      </w:hyperlink>
      <w:r>
        <w:t xml:space="preserve">, ордера </w:t>
      </w:r>
      <w:hyperlink r:id="rId63" w:history="1">
        <w:r>
          <w:rPr>
            <w:color w:val="0000FF"/>
          </w:rPr>
          <w:t>0402001</w:t>
        </w:r>
      </w:hyperlink>
      <w:r>
        <w:t xml:space="preserve">, ведомости к сумке </w:t>
      </w:r>
      <w:hyperlink r:id="rId64" w:history="1">
        <w:r>
          <w:rPr>
            <w:color w:val="0000FF"/>
          </w:rPr>
          <w:t>0402300</w:t>
        </w:r>
      </w:hyperlink>
      <w:r>
        <w:t xml:space="preserve">, накладной к сумке </w:t>
      </w:r>
      <w:hyperlink r:id="rId65" w:history="1">
        <w:r>
          <w:rPr>
            <w:color w:val="0000FF"/>
          </w:rPr>
          <w:t>0402300</w:t>
        </w:r>
      </w:hyperlink>
      <w:r>
        <w:t xml:space="preserve">, квитанции к сумке </w:t>
      </w:r>
      <w:hyperlink r:id="rId66" w:history="1">
        <w:r>
          <w:rPr>
            <w:color w:val="0000FF"/>
          </w:rPr>
          <w:t>0402300</w:t>
        </w:r>
      </w:hyperlink>
      <w:r>
        <w:t xml:space="preserve"> указываются соответствующие символы отчета о наличном денежном обороте.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В случае указания в реквизите "символ" объявления </w:t>
      </w:r>
      <w:hyperlink r:id="rId67" w:history="1">
        <w:r>
          <w:rPr>
            <w:color w:val="0000FF"/>
          </w:rPr>
          <w:t>0402001</w:t>
        </w:r>
      </w:hyperlink>
      <w:r>
        <w:t xml:space="preserve">, ордера </w:t>
      </w:r>
      <w:hyperlink r:id="rId68" w:history="1">
        <w:r>
          <w:rPr>
            <w:color w:val="0000FF"/>
          </w:rPr>
          <w:t>0402001</w:t>
        </w:r>
      </w:hyperlink>
      <w:r>
        <w:t xml:space="preserve"> символа отчета о наличном денежном обороте, не соответствующего источнику поступления наличных денег, указанному в </w:t>
      </w:r>
      <w:hyperlink r:id="rId69" w:history="1">
        <w:r>
          <w:rPr>
            <w:color w:val="0000FF"/>
          </w:rPr>
          <w:t>реквизите</w:t>
        </w:r>
      </w:hyperlink>
      <w:r>
        <w:t xml:space="preserve"> "Источник поступления" объявления на взнос наличными 0402001, работник банка предлагает представителю организации заново заполнить объявление на взнос наличными </w:t>
      </w:r>
      <w:hyperlink r:id="rId70" w:history="1">
        <w:r>
          <w:rPr>
            <w:color w:val="0000FF"/>
          </w:rPr>
          <w:t>0402001</w:t>
        </w:r>
      </w:hyperlink>
      <w:r>
        <w:t xml:space="preserve">. При этом первоначально оформленное объявление на взнос наличными </w:t>
      </w:r>
      <w:hyperlink r:id="rId71" w:history="1">
        <w:r>
          <w:rPr>
            <w:color w:val="0000FF"/>
          </w:rPr>
          <w:t>0402001</w:t>
        </w:r>
      </w:hyperlink>
      <w:r>
        <w:t xml:space="preserve"> работник банка перечеркивает, на обороте объявления на взнос наличными </w:t>
      </w:r>
      <w:hyperlink r:id="rId72" w:history="1">
        <w:r>
          <w:rPr>
            <w:color w:val="0000FF"/>
          </w:rPr>
          <w:t>0402001</w:t>
        </w:r>
      </w:hyperlink>
      <w:r>
        <w:t xml:space="preserve"> указывает причину его непринятия и ставит свою подпись, после чего возвращает первоначально оформленное объявление на взнос наличными </w:t>
      </w:r>
      <w:hyperlink r:id="rId73" w:history="1">
        <w:r>
          <w:rPr>
            <w:color w:val="0000FF"/>
          </w:rPr>
          <w:t>0402001</w:t>
        </w:r>
      </w:hyperlink>
      <w:r>
        <w:t xml:space="preserve"> представителю организации.</w:t>
      </w:r>
    </w:p>
    <w:p w:rsidR="001D7162" w:rsidRDefault="001D7162">
      <w:pPr>
        <w:pStyle w:val="ConsPlusNonformat"/>
        <w:spacing w:before="200"/>
        <w:jc w:val="both"/>
      </w:pPr>
      <w:r>
        <w:t xml:space="preserve">    2.5.8. В реквизите "</w:t>
      </w:r>
      <w:proofErr w:type="spellStart"/>
      <w:r>
        <w:t>Вноситель</w:t>
      </w:r>
      <w:proofErr w:type="spellEnd"/>
      <w:r>
        <w:t xml:space="preserve"> ____________________" объявления </w:t>
      </w:r>
      <w:hyperlink r:id="rId74" w:history="1">
        <w:r>
          <w:rPr>
            <w:color w:val="0000FF"/>
          </w:rPr>
          <w:t>0402001</w:t>
        </w:r>
      </w:hyperlink>
      <w:r>
        <w:t>,</w:t>
      </w:r>
    </w:p>
    <w:p w:rsidR="001D7162" w:rsidRDefault="001D7162">
      <w:pPr>
        <w:pStyle w:val="ConsPlusNonformat"/>
        <w:jc w:val="both"/>
      </w:pPr>
      <w:r>
        <w:t xml:space="preserve">                                    (личная подпись)</w:t>
      </w:r>
    </w:p>
    <w:p w:rsidR="001D7162" w:rsidRDefault="001D7162">
      <w:pPr>
        <w:pStyle w:val="ConsPlusNonformat"/>
        <w:jc w:val="both"/>
      </w:pPr>
      <w:r>
        <w:t>реквизите "Клиент ________________ _____________________" препроводительной</w:t>
      </w:r>
    </w:p>
    <w:p w:rsidR="001D7162" w:rsidRDefault="001D7162">
      <w:pPr>
        <w:pStyle w:val="ConsPlusNonformat"/>
        <w:jc w:val="both"/>
      </w:pPr>
      <w:r>
        <w:t xml:space="preserve">                  (личная </w:t>
      </w:r>
      <w:proofErr w:type="gramStart"/>
      <w:r>
        <w:t>подпись)  (</w:t>
      </w:r>
      <w:proofErr w:type="gramEnd"/>
      <w:r>
        <w:t>фамилия, инициалы)</w:t>
      </w:r>
    </w:p>
    <w:p w:rsidR="001D7162" w:rsidRDefault="001D7162">
      <w:pPr>
        <w:pStyle w:val="ConsPlusNonformat"/>
        <w:jc w:val="both"/>
      </w:pPr>
      <w:proofErr w:type="gramStart"/>
      <w:r>
        <w:t>ведомости  к</w:t>
      </w:r>
      <w:proofErr w:type="gramEnd"/>
      <w:r>
        <w:t xml:space="preserve">  сумке </w:t>
      </w:r>
      <w:hyperlink r:id="rId75" w:history="1">
        <w:r>
          <w:rPr>
            <w:color w:val="0000FF"/>
          </w:rPr>
          <w:t>0402300</w:t>
        </w:r>
      </w:hyperlink>
      <w:r>
        <w:t xml:space="preserve"> проставляется подпись вносящего наличные деньги</w:t>
      </w:r>
    </w:p>
    <w:p w:rsidR="001D7162" w:rsidRDefault="001D7162">
      <w:pPr>
        <w:pStyle w:val="ConsPlusNonformat"/>
        <w:jc w:val="both"/>
      </w:pPr>
      <w:proofErr w:type="gramStart"/>
      <w:r>
        <w:t>представителя  организации</w:t>
      </w:r>
      <w:proofErr w:type="gramEnd"/>
      <w:r>
        <w:t xml:space="preserve">.  </w:t>
      </w:r>
      <w:proofErr w:type="gramStart"/>
      <w:r>
        <w:t>В  случае</w:t>
      </w:r>
      <w:proofErr w:type="gramEnd"/>
      <w:r>
        <w:t xml:space="preserve">  сдачи  сумки  с  наличными деньгами</w:t>
      </w:r>
    </w:p>
    <w:p w:rsidR="001D7162" w:rsidRDefault="001D7162">
      <w:pPr>
        <w:pStyle w:val="ConsPlusNonformat"/>
        <w:jc w:val="both"/>
      </w:pPr>
      <w:r>
        <w:t xml:space="preserve">инкассаторскими   работниками   в   </w:t>
      </w:r>
      <w:proofErr w:type="gramStart"/>
      <w:r>
        <w:t>реквизите  "</w:t>
      </w:r>
      <w:proofErr w:type="gramEnd"/>
      <w:r>
        <w:t>Клиент ____________________</w:t>
      </w:r>
    </w:p>
    <w:p w:rsidR="001D7162" w:rsidRDefault="001D7162">
      <w:pPr>
        <w:pStyle w:val="ConsPlusNonformat"/>
        <w:jc w:val="both"/>
      </w:pPr>
      <w:r>
        <w:t xml:space="preserve">                                                         (личная подпись)</w:t>
      </w:r>
    </w:p>
    <w:p w:rsidR="001D7162" w:rsidRDefault="001D7162">
      <w:pPr>
        <w:pStyle w:val="ConsPlusNonformat"/>
        <w:jc w:val="both"/>
      </w:pPr>
      <w:r>
        <w:t>_________________________</w:t>
      </w:r>
      <w:proofErr w:type="gramStart"/>
      <w:r>
        <w:t>"  препроводительной</w:t>
      </w:r>
      <w:proofErr w:type="gramEnd"/>
      <w:r>
        <w:t xml:space="preserve">  ведомости  к  сумке  </w:t>
      </w:r>
      <w:hyperlink r:id="rId76" w:history="1">
        <w:r>
          <w:rPr>
            <w:color w:val="0000FF"/>
          </w:rPr>
          <w:t>0402300</w:t>
        </w:r>
      </w:hyperlink>
    </w:p>
    <w:p w:rsidR="001D7162" w:rsidRDefault="001D7162">
      <w:pPr>
        <w:pStyle w:val="ConsPlusNonformat"/>
        <w:jc w:val="both"/>
      </w:pPr>
      <w:r>
        <w:t xml:space="preserve">   (фамилия, инициалы)</w:t>
      </w:r>
    </w:p>
    <w:p w:rsidR="001D7162" w:rsidRDefault="001D7162">
      <w:pPr>
        <w:pStyle w:val="ConsPlusNonformat"/>
        <w:jc w:val="both"/>
      </w:pPr>
      <w:r>
        <w:t>проставляется подпись лица, формировавшего сумку с наличными деньгами.</w:t>
      </w:r>
    </w:p>
    <w:p w:rsidR="001D7162" w:rsidRDefault="001D7162">
      <w:pPr>
        <w:pStyle w:val="ConsPlusNormal"/>
        <w:ind w:firstLine="540"/>
        <w:jc w:val="both"/>
      </w:pPr>
      <w:r>
        <w:t xml:space="preserve">2.6. При представлении территориальными органами Федерального казначейства в кредитную организацию заявки в виде электронного документа, предусмотренной </w:t>
      </w:r>
      <w:hyperlink r:id="rId77" w:history="1">
        <w:r>
          <w:rPr>
            <w:color w:val="0000FF"/>
          </w:rPr>
          <w:t>абзацем седьмым пункта 2.3</w:t>
        </w:r>
      </w:hyperlink>
      <w:r>
        <w:t xml:space="preserve"> Положения Банка России N 630-П, или в подразделение Банка России заявки на сдачу/получение наличных денег </w:t>
      </w:r>
      <w:hyperlink r:id="rId78" w:history="1">
        <w:r>
          <w:rPr>
            <w:color w:val="0000FF"/>
          </w:rPr>
          <w:t>0402108</w:t>
        </w:r>
      </w:hyperlink>
      <w:r>
        <w:t xml:space="preserve"> в виде электронного документа прием наличных денег в кассу подразделения Банка России, кассу кредитной организации от представителя организации осуществляется по приходному кассовому ордеру </w:t>
      </w:r>
      <w:hyperlink r:id="rId79" w:history="1">
        <w:r>
          <w:rPr>
            <w:color w:val="0000FF"/>
          </w:rPr>
          <w:t>0402008</w:t>
        </w:r>
      </w:hyperlink>
      <w:r>
        <w:t xml:space="preserve">, формируемому работником банка, без представления объявлений на взнос наличными </w:t>
      </w:r>
      <w:hyperlink r:id="rId80" w:history="1">
        <w:r>
          <w:rPr>
            <w:color w:val="0000FF"/>
          </w:rPr>
          <w:t>0402001</w:t>
        </w:r>
      </w:hyperlink>
      <w:r>
        <w:t>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2.7. Работа с денежными знаками, вызывающими сомнение в их платежеспособности (далее - сомнительные денежные знаки), выявленными при приеме наличных денег от представителя организации, в банках при пересчете наличных денег из сумки, поступившей от организации, в кредитной организации (филиале), а также прием банками на экспертизу сомнительных денежных знаков, выявленных организациями, осуществляются подразделениями Банка России в порядке, установленном </w:t>
      </w:r>
      <w:hyperlink r:id="rId81" w:history="1">
        <w:r>
          <w:rPr>
            <w:color w:val="0000FF"/>
          </w:rPr>
          <w:t>Указанием</w:t>
        </w:r>
      </w:hyperlink>
      <w:r>
        <w:t xml:space="preserve"> Банка России N 5071-У и настоящим Положением, кредитными организациями (филиалами) в порядке, установленном </w:t>
      </w:r>
      <w:hyperlink r:id="rId82" w:history="1">
        <w:r>
          <w:rPr>
            <w:color w:val="0000FF"/>
          </w:rPr>
          <w:t>Положением</w:t>
        </w:r>
      </w:hyperlink>
      <w:r>
        <w:t xml:space="preserve"> Банка России N 630-П и настоящим Положением.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В заявлении, оформляемом работником банка или организацией в соответствии с </w:t>
      </w:r>
      <w:hyperlink r:id="rId83" w:history="1">
        <w:r>
          <w:rPr>
            <w:color w:val="0000FF"/>
          </w:rPr>
          <w:t>Указанием</w:t>
        </w:r>
      </w:hyperlink>
      <w:r>
        <w:t xml:space="preserve"> Банка России N 5071-У или </w:t>
      </w:r>
      <w:hyperlink r:id="rId84" w:history="1">
        <w:r>
          <w:rPr>
            <w:color w:val="0000FF"/>
          </w:rPr>
          <w:t>Положением</w:t>
        </w:r>
      </w:hyperlink>
      <w:r>
        <w:t xml:space="preserve"> Банка России N 630-П для сдачи в банк выявленных организацией сомнительных денежных знаков, на оборотной стороне указываются: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номер банковского счета, предназначенного для выдачи и внесения наличных денег, на который в случае подтверждения платежеспособности направляемых на экспертизу сомнительных денежных знаков следует зачислить их сумму;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коды бюджетной классификации Российской Федерации (коды операций) (за исключением операций, которые в соответствии с законодательством Российской Федерации не подлежат учету по кодам бюджетной классификации Российской Федерации);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информация в целях соблюдения порядка исполнения бюджета по расходам;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lastRenderedPageBreak/>
        <w:t>информация в целях соблюдения порядка казначейского обслуживания.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Копия заявления направляется банком в территориальный орган Федерального казначейства не позднее рабочего дня, следующего за днем зачисления суммы сомнительных денежных знаков, признанных по результатам экспертизы платежеспособными, на банковский счет, предназначенный для выдачи и внесения наличных денег.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В случае выявления в банке при приеме наличных денег от представителя организации сомнительных денежных знаков работник банка или представитель организации оформляет в двух экземплярах заявление в произвольной форме, в котором указывает:</w:t>
      </w:r>
    </w:p>
    <w:p w:rsidR="001D7162" w:rsidRDefault="001D7162">
      <w:pPr>
        <w:pStyle w:val="ConsPlusNormal"/>
        <w:spacing w:before="220"/>
        <w:ind w:firstLine="540"/>
        <w:jc w:val="both"/>
      </w:pPr>
      <w:bookmarkStart w:id="0" w:name="P167"/>
      <w:bookmarkEnd w:id="0"/>
      <w:r>
        <w:t>сумму сомнительных денежных знаков;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номер банковского счета, предназначенного для выдачи и внесения наличных денег, на который в случае подтверждения платежеспособности направляемых на экспертизу сомнительных денежных знаков следует зачислить их сумму;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лицевой счет организации;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коды бюджетной классификации Российской Федерации (коды операций) (за исключением операций, которые в соответствии с законодательством Российской Федерации не подлежат учету по кодам бюджетной классификации Российской Федерации);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информацию в целях соблюдения порядка исполнения бюджета по расходам;</w:t>
      </w:r>
    </w:p>
    <w:p w:rsidR="001D7162" w:rsidRDefault="001D7162">
      <w:pPr>
        <w:pStyle w:val="ConsPlusNormal"/>
        <w:spacing w:before="220"/>
        <w:ind w:firstLine="540"/>
        <w:jc w:val="both"/>
      </w:pPr>
      <w:bookmarkStart w:id="1" w:name="P172"/>
      <w:bookmarkEnd w:id="1"/>
      <w:r>
        <w:t>информацию в целях соблюдения порядка казначейского обслуживания.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По своему усмотрению представитель организации указывает в заявлении дополнительные реквизиты, помимо предусмотренных </w:t>
      </w:r>
      <w:hyperlink w:anchor="P167" w:history="1">
        <w:r>
          <w:rPr>
            <w:color w:val="0000FF"/>
          </w:rPr>
          <w:t>абзацами девятым</w:t>
        </w:r>
      </w:hyperlink>
      <w:r>
        <w:t xml:space="preserve"> - </w:t>
      </w:r>
      <w:hyperlink w:anchor="P172" w:history="1">
        <w:r>
          <w:rPr>
            <w:color w:val="0000FF"/>
          </w:rPr>
          <w:t>четырнадцатым</w:t>
        </w:r>
      </w:hyperlink>
      <w:r>
        <w:t xml:space="preserve"> настоящего пункта.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>Заявление подписывается представителем организации с указанием наименования его должности, фамилии и инициалов. Один экземпляр заявления остается в банке, второй направляется банком в территориальный орган Федерального казначейства не позднее рабочего дня, следующего за днем зачисления суммы сомнительных денежных знаков, признанных по результатам экспертизы платежеспособными, на банковский счет, предназначенный для выдачи и внесения наличных денег.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В случае выявления сомнительных денежных знаков в кредитной организации (филиале) при пересчете наличных денег из сумки, поступившей от организации, копия ведомости к сумке </w:t>
      </w:r>
      <w:hyperlink r:id="rId85" w:history="1">
        <w:r>
          <w:rPr>
            <w:color w:val="0000FF"/>
          </w:rPr>
          <w:t>0402300</w:t>
        </w:r>
      </w:hyperlink>
      <w:r>
        <w:t xml:space="preserve"> направляется кредитной организацией (филиалом) в территориальный орган Федерального казначейства не позднее рабочего дня, следующего за днем зачисления суммы сомнительных денежных знаков, признанных по результатам экспертизы платежеспособными, на банковский счет, предназначенный для выдачи и внесения наличных денег.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2.8. Сдача наличных денег организацией для зачисления сумм денежных средств на банковские счета, предназначенные для выдачи и внесения наличных денег, через устройства, функционирующие в автоматическом режиме и предназначенные для приема наличных денег от организаций (далее - автоматические приемные устройства), осуществляется в порядке, установленном </w:t>
      </w:r>
      <w:hyperlink r:id="rId86" w:history="1">
        <w:r>
          <w:rPr>
            <w:color w:val="0000FF"/>
          </w:rPr>
          <w:t>Положением</w:t>
        </w:r>
      </w:hyperlink>
      <w:r>
        <w:t xml:space="preserve"> Банка России N 630-П.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t xml:space="preserve">В случае внесения наличных денег организациями с применением автоматических приемных устройств распечатка автоматического приемного устройства, подтверждающая проведение операции по сдаче наличных денег для зачисления суммы денежных средств на банковский счет, помимо реквизитов, предусмотренных </w:t>
      </w:r>
      <w:hyperlink r:id="rId87" w:history="1">
        <w:r>
          <w:rPr>
            <w:color w:val="0000FF"/>
          </w:rPr>
          <w:t>Положением</w:t>
        </w:r>
      </w:hyperlink>
      <w:r>
        <w:t xml:space="preserve"> Банка России N 630-П, может содержать дополнительную информацию, необходимую территориальному органу Федерального казначейства, предусмотренную в соответствующем договоре с кредитной организацией.</w:t>
      </w:r>
    </w:p>
    <w:p w:rsidR="001D7162" w:rsidRDefault="001D7162">
      <w:pPr>
        <w:pStyle w:val="ConsPlusNormal"/>
        <w:spacing w:before="220"/>
        <w:ind w:firstLine="540"/>
        <w:jc w:val="both"/>
      </w:pPr>
      <w:r>
        <w:lastRenderedPageBreak/>
        <w:t xml:space="preserve">2.9. Выдача наличной иностранной валюты организациям, прием наличной иностранной валюты от организаций производятся в соответствии с требованиями, установленными </w:t>
      </w:r>
      <w:hyperlink r:id="rId88" w:history="1">
        <w:r>
          <w:rPr>
            <w:color w:val="0000FF"/>
          </w:rPr>
          <w:t>Указанием</w:t>
        </w:r>
      </w:hyperlink>
      <w:r>
        <w:t xml:space="preserve"> Банка России от 30 января 2020 года N 5396-У "О порядке ведения кассовых операций с наличной иностранной валютой в уполномоченных банках на территории Российской Федерации", зарегистрированным Министерством юстиции Российской Федерации 23 апреля 2020 года N 58200, и настоящим Положением, в пределах имеющегося остатка денежных средств на банковском счете территориального органа Федерального казначейства, предназначенном для выдачи и внесения наличных денег, на начало операционного дня или, при возможности, на момент выдачи в соответствии с графиком кассового обслуживания организаций.</w:t>
      </w:r>
    </w:p>
    <w:p w:rsidR="001D7162" w:rsidRDefault="001D7162">
      <w:pPr>
        <w:pStyle w:val="ConsPlusNormal"/>
        <w:jc w:val="both"/>
      </w:pPr>
    </w:p>
    <w:p w:rsidR="001D7162" w:rsidRDefault="001D7162">
      <w:pPr>
        <w:pStyle w:val="ConsPlusTitle"/>
        <w:ind w:firstLine="540"/>
        <w:jc w:val="both"/>
        <w:outlineLvl w:val="0"/>
      </w:pPr>
      <w:r>
        <w:t>Глава 3. Заключительные положения</w:t>
      </w:r>
    </w:p>
    <w:p w:rsidR="001D7162" w:rsidRDefault="001D7162">
      <w:pPr>
        <w:pStyle w:val="ConsPlusNormal"/>
        <w:jc w:val="both"/>
      </w:pPr>
    </w:p>
    <w:p w:rsidR="001D7162" w:rsidRDefault="001D7162">
      <w:pPr>
        <w:pStyle w:val="ConsPlusNormal"/>
        <w:ind w:firstLine="540"/>
        <w:jc w:val="both"/>
      </w:pPr>
      <w:r>
        <w:t>3.1. Настоящее Положение подлежит официальному опубликованию и вступает в силу с 1 января 2021 года.</w:t>
      </w:r>
    </w:p>
    <w:p w:rsidR="001D7162" w:rsidRDefault="001D7162">
      <w:pPr>
        <w:pStyle w:val="ConsPlusNormal"/>
        <w:jc w:val="both"/>
      </w:pPr>
    </w:p>
    <w:p w:rsidR="001D7162" w:rsidRDefault="001D7162">
      <w:pPr>
        <w:pStyle w:val="ConsPlusNormal"/>
        <w:jc w:val="right"/>
      </w:pPr>
      <w:r>
        <w:t>Председатель Центрального банка</w:t>
      </w:r>
    </w:p>
    <w:p w:rsidR="001D7162" w:rsidRDefault="001D7162">
      <w:pPr>
        <w:pStyle w:val="ConsPlusNormal"/>
        <w:jc w:val="right"/>
      </w:pPr>
      <w:r>
        <w:t>Российской Федерации</w:t>
      </w:r>
    </w:p>
    <w:p w:rsidR="001D7162" w:rsidRDefault="001D7162">
      <w:pPr>
        <w:pStyle w:val="ConsPlusNormal"/>
        <w:jc w:val="right"/>
      </w:pPr>
      <w:r>
        <w:t>Э.С.НАБИУЛЛИНА</w:t>
      </w:r>
    </w:p>
    <w:p w:rsidR="001D7162" w:rsidRDefault="001D7162">
      <w:pPr>
        <w:pStyle w:val="ConsPlusNormal"/>
        <w:jc w:val="both"/>
      </w:pPr>
    </w:p>
    <w:p w:rsidR="001D7162" w:rsidRDefault="001D7162">
      <w:pPr>
        <w:pStyle w:val="ConsPlusNormal"/>
        <w:jc w:val="right"/>
      </w:pPr>
      <w:r>
        <w:t>Согласовано</w:t>
      </w:r>
    </w:p>
    <w:p w:rsidR="001D7162" w:rsidRDefault="001D7162">
      <w:pPr>
        <w:pStyle w:val="ConsPlusNormal"/>
        <w:jc w:val="right"/>
      </w:pPr>
      <w:r>
        <w:t>Руководитель Федерального казначейства</w:t>
      </w:r>
    </w:p>
    <w:p w:rsidR="001D7162" w:rsidRDefault="001D7162">
      <w:pPr>
        <w:pStyle w:val="ConsPlusNormal"/>
        <w:jc w:val="right"/>
      </w:pPr>
      <w:r>
        <w:t>Р.Е.АРТЮХИН</w:t>
      </w:r>
    </w:p>
    <w:p w:rsidR="001D7162" w:rsidRDefault="001D7162">
      <w:pPr>
        <w:pStyle w:val="ConsPlusNormal"/>
        <w:jc w:val="both"/>
      </w:pPr>
    </w:p>
    <w:p w:rsidR="001D7162" w:rsidRDefault="001D7162">
      <w:pPr>
        <w:pStyle w:val="ConsPlusNormal"/>
        <w:jc w:val="both"/>
      </w:pPr>
    </w:p>
    <w:p w:rsidR="001D7162" w:rsidRDefault="001D716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E3318" w:rsidRDefault="002E3318">
      <w:bookmarkStart w:id="2" w:name="_GoBack"/>
      <w:bookmarkEnd w:id="2"/>
    </w:p>
    <w:sectPr w:rsidR="002E3318" w:rsidSect="007A2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162"/>
    <w:rsid w:val="001D7162"/>
    <w:rsid w:val="002E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0AAD50-B909-462F-B96E-0A719A763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71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D716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D71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D716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61E401D37C79ACA71A4E195794D00A7C8D98D4B9773EFB33FD9D5F8860F010A1DE4F2B6F056AD05E02088AE4F80ADACA62CB04A26D7w854M" TargetMode="External"/><Relationship Id="rId18" Type="http://schemas.openxmlformats.org/officeDocument/2006/relationships/hyperlink" Target="consultantplus://offline/ref=961E401D37C79ACA71A4E195794D00A7CFD9894D9F72EFB33FD9D5F8860F010A1DE4F2B5F454A60AB77A98AA06D4A3B3A536AE4C38D786BDw251M" TargetMode="External"/><Relationship Id="rId26" Type="http://schemas.openxmlformats.org/officeDocument/2006/relationships/hyperlink" Target="consultantplus://offline/ref=961E401D37C79ACA71A4E195794D00A7CFD98D4C9076EFB33FD9D5F8860F010A0FE4AAB9F557BB0EB06FCEFB40w853M" TargetMode="External"/><Relationship Id="rId39" Type="http://schemas.openxmlformats.org/officeDocument/2006/relationships/hyperlink" Target="consultantplus://offline/ref=961E401D37C79ACA71A4E195794D00A7CFDE8B4E9675EFB33FD9D5F8860F010A1DE4F2B5F454A50DB57A98AA06D4A3B3A536AE4C38D786BDw251M" TargetMode="External"/><Relationship Id="rId21" Type="http://schemas.openxmlformats.org/officeDocument/2006/relationships/hyperlink" Target="consultantplus://offline/ref=961E401D37C79ACA71A4E195794D00A7CFD08D4D9374EFB33FD9D5F8860F010A0FE4AAB9F557BB0EB06FCEFB40w853M" TargetMode="External"/><Relationship Id="rId34" Type="http://schemas.openxmlformats.org/officeDocument/2006/relationships/hyperlink" Target="consultantplus://offline/ref=961E401D37C79ACA71A4E195794D00A7CFD08A4E9378EFB33FD9D5F8860F010A1DE4F2B5F453A60FB17A98AA06D4A3B3A536AE4C38D786BDw251M" TargetMode="External"/><Relationship Id="rId42" Type="http://schemas.openxmlformats.org/officeDocument/2006/relationships/hyperlink" Target="consultantplus://offline/ref=961E401D37C79ACA71A4E195794D00A7CFDD8C4B9E77EFB33FD9D5F8860F010A1DE4F2B5F454A506B67A98AA06D4A3B3A536AE4C38D786BDw251M" TargetMode="External"/><Relationship Id="rId47" Type="http://schemas.openxmlformats.org/officeDocument/2006/relationships/hyperlink" Target="consultantplus://offline/ref=961E401D37C79ACA71A4E195794D00A7CFDE8B4E9675EFB33FD9D5F8860F010A0FE4AAB9F557BB0EB06FCEFB40w853M" TargetMode="External"/><Relationship Id="rId50" Type="http://schemas.openxmlformats.org/officeDocument/2006/relationships/hyperlink" Target="consultantplus://offline/ref=961E401D37C79ACA71A4E195794D00A7CFDE8B4E9675EFB33FD9D5F8860F010A1DE4F2B5F454A007B27A98AA06D4A3B3A536AE4C38D786BDw251M" TargetMode="External"/><Relationship Id="rId55" Type="http://schemas.openxmlformats.org/officeDocument/2006/relationships/hyperlink" Target="consultantplus://offline/ref=961E401D37C79ACA71A4E195794D00A7CFDE8B4E9675EFB33FD9D5F8860F010A1DE4F2B5F454A40ABC7A98AA06D4A3B3A536AE4C38D786BDw251M" TargetMode="External"/><Relationship Id="rId63" Type="http://schemas.openxmlformats.org/officeDocument/2006/relationships/hyperlink" Target="consultantplus://offline/ref=961E401D37C79ACA71A4E195794D00A7CFDE8B4E9675EFB33FD9D5F8860F010A1DE4F2B5F454A409BC7A98AA06D4A3B3A536AE4C38D786BDw251M" TargetMode="External"/><Relationship Id="rId68" Type="http://schemas.openxmlformats.org/officeDocument/2006/relationships/hyperlink" Target="consultantplus://offline/ref=961E401D37C79ACA71A4E195794D00A7CFDE8B4E9675EFB33FD9D5F8860F010A1DE4F2B5F454A409BC7A98AA06D4A3B3A536AE4C38D786BDw251M" TargetMode="External"/><Relationship Id="rId76" Type="http://schemas.openxmlformats.org/officeDocument/2006/relationships/hyperlink" Target="consultantplus://offline/ref=961E401D37C79ACA71A4E195794D00A7CFDE8B4E9675EFB33FD9D5F8860F010A1DE4F2B5F454A60DB37A98AA06D4A3B3A536AE4C38D786BDw251M" TargetMode="External"/><Relationship Id="rId84" Type="http://schemas.openxmlformats.org/officeDocument/2006/relationships/hyperlink" Target="consultantplus://offline/ref=961E401D37C79ACA71A4E195794D00A7CFD18A449273EFB33FD9D5F8860F010A1DE4F2B5F454A607BD7A98AA06D4A3B3A536AE4C38D786BDw251M" TargetMode="External"/><Relationship Id="rId89" Type="http://schemas.openxmlformats.org/officeDocument/2006/relationships/fontTable" Target="fontTable.xml"/><Relationship Id="rId7" Type="http://schemas.openxmlformats.org/officeDocument/2006/relationships/hyperlink" Target="consultantplus://offline/ref=961E401D37C79ACA71A4E195794D00A7CFD085449072EFB33FD9D5F8860F010A1DE4F2B5F454A00AB27A98AA06D4A3B3A536AE4C38D786BDw251M" TargetMode="External"/><Relationship Id="rId71" Type="http://schemas.openxmlformats.org/officeDocument/2006/relationships/hyperlink" Target="consultantplus://offline/ref=961E401D37C79ACA71A4E195794D00A7CFDE8B4E9675EFB33FD9D5F8860F010A1DE4F2B5F454A50DB57A98AA06D4A3B3A536AE4C38D786BDw251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61E401D37C79ACA71A4E195794D00A7C8D98D4D9F77EFB33FD9D5F8860F010A1DE4F2B5F454A10FB07A98AA06D4A3B3A536AE4C38D786BDw251M" TargetMode="External"/><Relationship Id="rId29" Type="http://schemas.openxmlformats.org/officeDocument/2006/relationships/hyperlink" Target="consultantplus://offline/ref=961E401D37C79ACA71A4E195794D00A7CFDD8C4B9E77EFB33FD9D5F8860F010A1DE4F2B5F454A50ABC7A98AA06D4A3B3A536AE4C38D786BDw251M" TargetMode="External"/><Relationship Id="rId11" Type="http://schemas.openxmlformats.org/officeDocument/2006/relationships/hyperlink" Target="consultantplus://offline/ref=961E401D37C79ACA71A4E195794D00A7CFD085449072EFB33FD9D5F8860F010A1DE4F2B5F454A50CB17A98AA06D4A3B3A536AE4C38D786BDw251M" TargetMode="External"/><Relationship Id="rId24" Type="http://schemas.openxmlformats.org/officeDocument/2006/relationships/hyperlink" Target="consultantplus://offline/ref=961E401D37C79ACA71A4E195794D00A7CFD9894D9F72EFB33FD9D5F8860F010A1DE4F2B5F454A60AB77A98AA06D4A3B3A536AE4C38D786BDw251M" TargetMode="External"/><Relationship Id="rId32" Type="http://schemas.openxmlformats.org/officeDocument/2006/relationships/hyperlink" Target="consultantplus://offline/ref=961E401D37C79ACA71A4E195794D00A7CFD0844C9F70EFB33FD9D5F8860F010A1DE4F2B5F45CA408B77A98AA06D4A3B3A536AE4C38D786BDw251M" TargetMode="External"/><Relationship Id="rId37" Type="http://schemas.openxmlformats.org/officeDocument/2006/relationships/hyperlink" Target="consultantplus://offline/ref=961E401D37C79ACA71A4E195794D00A7CFDD8C4B9E77EFB33FD9D5F8860F010A1DE4F2B5F454A506B67A98AA06D4A3B3A536AE4C38D786BDw251M" TargetMode="External"/><Relationship Id="rId40" Type="http://schemas.openxmlformats.org/officeDocument/2006/relationships/hyperlink" Target="consultantplus://offline/ref=961E401D37C79ACA71A4E195794D00A7CFDE8B4E9675EFB33FD9D5F8860F010A1DE4F2B5F454A60DB37A98AA06D4A3B3A536AE4C38D786BDw251M" TargetMode="External"/><Relationship Id="rId45" Type="http://schemas.openxmlformats.org/officeDocument/2006/relationships/hyperlink" Target="consultantplus://offline/ref=961E401D37C79ACA71A4E195794D00A7CFDE8B4E9675EFB33FD9D5F8860F010A1DE4F2B5F454A50DB57A98AA06D4A3B3A536AE4C38D786BDw251M" TargetMode="External"/><Relationship Id="rId53" Type="http://schemas.openxmlformats.org/officeDocument/2006/relationships/hyperlink" Target="consultantplus://offline/ref=961E401D37C79ACA71A4E195794D00A7CFDE8B4E9675EFB33FD9D5F8860F010A1DE4F2B5F454A40AB17A98AA06D4A3B3A536AE4C38D786BDw251M" TargetMode="External"/><Relationship Id="rId58" Type="http://schemas.openxmlformats.org/officeDocument/2006/relationships/hyperlink" Target="consultantplus://offline/ref=961E401D37C79ACA71A4E195794D00A7CFDE8B4E9675EFB33FD9D5F8860F010A1DE4F2B5F454A307BC7A98AA06D4A3B3A536AE4C38D786BDw251M" TargetMode="External"/><Relationship Id="rId66" Type="http://schemas.openxmlformats.org/officeDocument/2006/relationships/hyperlink" Target="consultantplus://offline/ref=961E401D37C79ACA71A4E195794D00A7CFDE8B4E9675EFB33FD9D5F8860F010A1DE4F2B5F454A30CBD7A98AA06D4A3B3A536AE4C38D786BDw251M" TargetMode="External"/><Relationship Id="rId74" Type="http://schemas.openxmlformats.org/officeDocument/2006/relationships/hyperlink" Target="consultantplus://offline/ref=961E401D37C79ACA71A4E195794D00A7CFDE8B4E9675EFB33FD9D5F8860F010A1DE4F2B5F454A50DB57A98AA06D4A3B3A536AE4C38D786BDw251M" TargetMode="External"/><Relationship Id="rId79" Type="http://schemas.openxmlformats.org/officeDocument/2006/relationships/hyperlink" Target="consultantplus://offline/ref=961E401D37C79ACA71A4E195794D00A7CFDE8B4E9675EFB33FD9D5F8860F010A1DE4F2B5F454A70FB57A98AA06D4A3B3A536AE4C38D786BDw251M" TargetMode="External"/><Relationship Id="rId87" Type="http://schemas.openxmlformats.org/officeDocument/2006/relationships/hyperlink" Target="consultantplus://offline/ref=961E401D37C79ACA71A4E195794D00A7CFD18A449273EFB33FD9D5F8860F010A0FE4AAB9F557BB0EB06FCEFB40w853M" TargetMode="External"/><Relationship Id="rId5" Type="http://schemas.openxmlformats.org/officeDocument/2006/relationships/hyperlink" Target="consultantplus://offline/ref=961E401D37C79ACA71A4E195794D00A7CFD0884D9373EFB33FD9D5F8860F010A1DE4F2B5F454A50EB27A98AA06D4A3B3A536AE4C38D786BDw251M" TargetMode="External"/><Relationship Id="rId61" Type="http://schemas.openxmlformats.org/officeDocument/2006/relationships/hyperlink" Target="consultantplus://offline/ref=961E401D37C79ACA71A4E195794D00A7CFDE8B4E9675EFB33FD9D5F8860F010A1DE4F2B5F454A30AB57A98AA06D4A3B3A536AE4C38D786BDw251M" TargetMode="External"/><Relationship Id="rId82" Type="http://schemas.openxmlformats.org/officeDocument/2006/relationships/hyperlink" Target="consultantplus://offline/ref=961E401D37C79ACA71A4E195794D00A7CFD18A449273EFB33FD9D5F8860F010A0FE4AAB9F557BB0EB06FCEFB40w853M" TargetMode="External"/><Relationship Id="rId90" Type="http://schemas.openxmlformats.org/officeDocument/2006/relationships/theme" Target="theme/theme1.xml"/><Relationship Id="rId19" Type="http://schemas.openxmlformats.org/officeDocument/2006/relationships/hyperlink" Target="consultantplus://offline/ref=961E401D37C79ACA71A4E195794D00A7C8D98D4B9773EFB33FD9D5F8860F010A1DE4F2B0F150AD05E02088AE4F80ADACA62CB04A26D7w854M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961E401D37C79ACA71A4E195794D00A7C8D98D4B9773EFB33FD9D5F8860F010A1DE4F2B7FD5DA505E02088AE4F80ADACA62CB04A26D7w854M" TargetMode="External"/><Relationship Id="rId14" Type="http://schemas.openxmlformats.org/officeDocument/2006/relationships/hyperlink" Target="consultantplus://offline/ref=961E401D37C79ACA71A4E195794D00A7C8D98D4B9773EFB33FD9D5F8860F010A1DE4F2B7F251A105E02088AE4F80ADACA62CB04A26D7w854M" TargetMode="External"/><Relationship Id="rId22" Type="http://schemas.openxmlformats.org/officeDocument/2006/relationships/hyperlink" Target="consultantplus://offline/ref=961E401D37C79ACA71A4E195794D00A7CFD9894D9F72EFB33FD9D5F8860F010A0FE4AAB9F557BB0EB06FCEFB40w853M" TargetMode="External"/><Relationship Id="rId27" Type="http://schemas.openxmlformats.org/officeDocument/2006/relationships/hyperlink" Target="consultantplus://offline/ref=961E401D37C79ACA71A4E195794D00A7CFDD8C4B9E77EFB33FD9D5F8860F010A0FE4AAB9F557BB0EB06FCEFB40w853M" TargetMode="External"/><Relationship Id="rId30" Type="http://schemas.openxmlformats.org/officeDocument/2006/relationships/hyperlink" Target="consultantplus://offline/ref=961E401D37C79ACA71A4E195794D00A7CFD08A4E9378EFB33FD9D5F8860F010A1DE4F2B5F453A60FB37A98AA06D4A3B3A536AE4C38D786BDw251M" TargetMode="External"/><Relationship Id="rId35" Type="http://schemas.openxmlformats.org/officeDocument/2006/relationships/hyperlink" Target="consultantplus://offline/ref=961E401D37C79ACA71A4E195794D00A7CFD08A4E9378EFB33FD9D5F8860F010A1DE4F2B5F453A60FB27A98AA06D4A3B3A536AE4C38D786BDw251M" TargetMode="External"/><Relationship Id="rId43" Type="http://schemas.openxmlformats.org/officeDocument/2006/relationships/hyperlink" Target="consultantplus://offline/ref=961E401D37C79ACA71A4E195794D00A7CFDE8B4E9675EFB33FD9D5F8860F010A1DE4F2B5F454A50DB57A98AA06D4A3B3A536AE4C38D786BDw251M" TargetMode="External"/><Relationship Id="rId48" Type="http://schemas.openxmlformats.org/officeDocument/2006/relationships/hyperlink" Target="consultantplus://offline/ref=961E401D37C79ACA71A4E195794D00A7CFDE8B4E9675EFB33FD9D5F8860F010A1DE4F2B5F454A40DBD7A98AA06D4A3B3A536AE4C38D786BDw251M" TargetMode="External"/><Relationship Id="rId56" Type="http://schemas.openxmlformats.org/officeDocument/2006/relationships/hyperlink" Target="consultantplus://offline/ref=961E401D37C79ACA71A4E195794D00A7CFDE8B4E9675EFB33FD9D5F8860F010A1DE4F2B5F454A30EB17A98AA06D4A3B3A536AE4C38D786BDw251M" TargetMode="External"/><Relationship Id="rId64" Type="http://schemas.openxmlformats.org/officeDocument/2006/relationships/hyperlink" Target="consultantplus://offline/ref=961E401D37C79ACA71A4E195794D00A7CFDE8B4E9675EFB33FD9D5F8860F010A1DE4F2B5F454A30CBD7A98AA06D4A3B3A536AE4C38D786BDw251M" TargetMode="External"/><Relationship Id="rId69" Type="http://schemas.openxmlformats.org/officeDocument/2006/relationships/hyperlink" Target="consultantplus://offline/ref=961E401D37C79ACA71A4E195794D00A7CFDE8B4E9675EFB33FD9D5F8860F010A1DE4F2B5F454A407B47A98AA06D4A3B3A536AE4C38D786BDw251M" TargetMode="External"/><Relationship Id="rId77" Type="http://schemas.openxmlformats.org/officeDocument/2006/relationships/hyperlink" Target="consultantplus://offline/ref=961E401D37C79ACA71A4E195794D00A7CFD18A449273EFB33FD9D5F8860F010A1DE4F2B5F454A506B27A98AA06D4A3B3A536AE4C38D786BDw251M" TargetMode="External"/><Relationship Id="rId8" Type="http://schemas.openxmlformats.org/officeDocument/2006/relationships/hyperlink" Target="consultantplus://offline/ref=961E401D37C79ACA71A4E195794D00A7C8D98D4B9773EFB33FD9D5F8860F010A1DE4F2B1FD50A005E02088AE4F80ADACA62CB04A26D7w854M" TargetMode="External"/><Relationship Id="rId51" Type="http://schemas.openxmlformats.org/officeDocument/2006/relationships/hyperlink" Target="consultantplus://offline/ref=961E401D37C79ACA71A4E195794D00A7CFDE8B4E9675EFB33FD9D5F8860F010A1DE4F2B5F454A40AB67A98AA06D4A3B3A536AE4C38D786BDw251M" TargetMode="External"/><Relationship Id="rId72" Type="http://schemas.openxmlformats.org/officeDocument/2006/relationships/hyperlink" Target="consultantplus://offline/ref=961E401D37C79ACA71A4E195794D00A7CFDE8B4E9675EFB33FD9D5F8860F010A1DE4F2B5F454A50DB57A98AA06D4A3B3A536AE4C38D786BDw251M" TargetMode="External"/><Relationship Id="rId80" Type="http://schemas.openxmlformats.org/officeDocument/2006/relationships/hyperlink" Target="consultantplus://offline/ref=961E401D37C79ACA71A4E195794D00A7CFDE8B4E9675EFB33FD9D5F8860F010A1DE4F2B5F454A50DB57A98AA06D4A3B3A536AE4C38D786BDw251M" TargetMode="External"/><Relationship Id="rId85" Type="http://schemas.openxmlformats.org/officeDocument/2006/relationships/hyperlink" Target="consultantplus://offline/ref=961E401D37C79ACA71A4E195794D00A7CFDE8B4E9675EFB33FD9D5F8860F010A1DE4F2B5F454A60DB37A98AA06D4A3B3A536AE4C38D786BDw251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961E401D37C79ACA71A4E195794D00A7CFD9894D9F72EFB33FD9D5F8860F010A1DE4F2B5F454A60AB77A98AA06D4A3B3A536AE4C38D786BDw251M" TargetMode="External"/><Relationship Id="rId17" Type="http://schemas.openxmlformats.org/officeDocument/2006/relationships/hyperlink" Target="consultantplus://offline/ref=961E401D37C79ACA71A4E195794D00A7CFD9894D9F72EFB33FD9D5F8860F010A1DE4F2B5F454A60AB77A98AA06D4A3B3A536AE4C38D786BDw251M" TargetMode="External"/><Relationship Id="rId25" Type="http://schemas.openxmlformats.org/officeDocument/2006/relationships/hyperlink" Target="consultantplus://offline/ref=961E401D37C79ACA71A4E195794D00A7C8D98D4B9773EFB33FD9D5F8860F010A1DE4F2B2F552A105E02088AE4F80ADACA62CB04A26D7w854M" TargetMode="External"/><Relationship Id="rId33" Type="http://schemas.openxmlformats.org/officeDocument/2006/relationships/hyperlink" Target="consultantplus://offline/ref=961E401D37C79ACA71A4E195794D00A7CFD08A4E9378EFB33FD9D5F8860F010A1DE4F2B5F453A706B37A98AA06D4A3B3A536AE4C38D786BDw251M" TargetMode="External"/><Relationship Id="rId38" Type="http://schemas.openxmlformats.org/officeDocument/2006/relationships/hyperlink" Target="consultantplus://offline/ref=961E401D37C79ACA71A4E195794D00A7CFDE8B4E9675EFB33FD9D5F8860F010A1DE4F2B5F454A20EB17A98AA06D4A3B3A536AE4C38D786BDw251M" TargetMode="External"/><Relationship Id="rId46" Type="http://schemas.openxmlformats.org/officeDocument/2006/relationships/hyperlink" Target="consultantplus://offline/ref=961E401D37C79ACA71A4E195794D00A7CFDE8B4E9675EFB33FD9D5F8860F010A1DE4F2B5F454A60DB37A98AA06D4A3B3A536AE4C38D786BDw251M" TargetMode="External"/><Relationship Id="rId59" Type="http://schemas.openxmlformats.org/officeDocument/2006/relationships/hyperlink" Target="consultantplus://offline/ref=961E401D37C79ACA71A4E195794D00A7CDDC85449670EFB33FD9D5F8860F010A0FE4AAB9F557BB0EB06FCEFB40w853M" TargetMode="External"/><Relationship Id="rId67" Type="http://schemas.openxmlformats.org/officeDocument/2006/relationships/hyperlink" Target="consultantplus://offline/ref=961E401D37C79ACA71A4E195794D00A7CFDE8B4E9675EFB33FD9D5F8860F010A1DE4F2B5F454A409BC7A98AA06D4A3B3A536AE4C38D786BDw251M" TargetMode="External"/><Relationship Id="rId20" Type="http://schemas.openxmlformats.org/officeDocument/2006/relationships/hyperlink" Target="consultantplus://offline/ref=961E401D37C79ACA71A4E195794D00A7CFD9894D9F72EFB33FD9D5F8860F010A1DE4F2B5F454A60AB77A98AA06D4A3B3A536AE4C38D786BDw251M" TargetMode="External"/><Relationship Id="rId41" Type="http://schemas.openxmlformats.org/officeDocument/2006/relationships/hyperlink" Target="consultantplus://offline/ref=961E401D37C79ACA71A4E195794D00A7CFD18A449273EFB33FD9D5F8860F010A0FE4AAB9F557BB0EB06FCEFB40w853M" TargetMode="External"/><Relationship Id="rId54" Type="http://schemas.openxmlformats.org/officeDocument/2006/relationships/hyperlink" Target="consultantplus://offline/ref=961E401D37C79ACA71A4E195794D00A7CFDE8B4E9675EFB33FD9D5F8860F010A1DE4F2B5F454A30EB67A98AA06D4A3B3A536AE4C38D786BDw251M" TargetMode="External"/><Relationship Id="rId62" Type="http://schemas.openxmlformats.org/officeDocument/2006/relationships/hyperlink" Target="consultantplus://offline/ref=961E401D37C79ACA71A4E195794D00A7CFDE8B4E9675EFB33FD9D5F8860F010A1DE4F2B5F454A409BC7A98AA06D4A3B3A536AE4C38D786BDw251M" TargetMode="External"/><Relationship Id="rId70" Type="http://schemas.openxmlformats.org/officeDocument/2006/relationships/hyperlink" Target="consultantplus://offline/ref=961E401D37C79ACA71A4E195794D00A7CFDE8B4E9675EFB33FD9D5F8860F010A1DE4F2B5F454A50DB57A98AA06D4A3B3A536AE4C38D786BDw251M" TargetMode="External"/><Relationship Id="rId75" Type="http://schemas.openxmlformats.org/officeDocument/2006/relationships/hyperlink" Target="consultantplus://offline/ref=961E401D37C79ACA71A4E195794D00A7CFDE8B4E9675EFB33FD9D5F8860F010A1DE4F2B5F454A60DB37A98AA06D4A3B3A536AE4C38D786BDw251M" TargetMode="External"/><Relationship Id="rId83" Type="http://schemas.openxmlformats.org/officeDocument/2006/relationships/hyperlink" Target="consultantplus://offline/ref=961E401D37C79ACA71A4E195794D00A7CFDD8C4B9E77EFB33FD9D5F8860F010A1DE4F2B5F454A50DB77A98AA06D4A3B3A536AE4C38D786BDw251M" TargetMode="External"/><Relationship Id="rId88" Type="http://schemas.openxmlformats.org/officeDocument/2006/relationships/hyperlink" Target="consultantplus://offline/ref=961E401D37C79ACA71A4E195794D00A7CFDD8E4D9371EFB33FD9D5F8860F010A0FE4AAB9F557BB0EB06FCEFB40w853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61E401D37C79ACA71A4E195794D00A7CFDF8B4B9478EFB33FD9D5F8860F010A1DE4F2B5F454A50AB17A98AA06D4A3B3A536AE4C38D786BDw251M" TargetMode="External"/><Relationship Id="rId15" Type="http://schemas.openxmlformats.org/officeDocument/2006/relationships/hyperlink" Target="consultantplus://offline/ref=961E401D37C79ACA71A4E195794D00A7CFD0884D9373EFB33FD9D5F8860F010A1DE4F2B5F454A50EB27A98AA06D4A3B3A536AE4C38D786BDw251M" TargetMode="External"/><Relationship Id="rId23" Type="http://schemas.openxmlformats.org/officeDocument/2006/relationships/hyperlink" Target="consultantplus://offline/ref=961E401D37C79ACA71A4E195794D00A7C8D98D4B9773EFB33FD9D5F8860F010A1DE4F2B2F552A105E02088AE4F80ADACA62CB04A26D7w854M" TargetMode="External"/><Relationship Id="rId28" Type="http://schemas.openxmlformats.org/officeDocument/2006/relationships/hyperlink" Target="consultantplus://offline/ref=961E401D37C79ACA71A4E195794D00A7CFD18A449273EFB33FD9D5F8860F010A0FE4AAB9F557BB0EB06FCEFB40w853M" TargetMode="External"/><Relationship Id="rId36" Type="http://schemas.openxmlformats.org/officeDocument/2006/relationships/hyperlink" Target="consultantplus://offline/ref=961E401D37C79ACA71A4E195794D00A7CFD18A449273EFB33FD9D5F8860F010A1DE4F2B5F454A506B27A98AA06D4A3B3A536AE4C38D786BDw251M" TargetMode="External"/><Relationship Id="rId49" Type="http://schemas.openxmlformats.org/officeDocument/2006/relationships/hyperlink" Target="consultantplus://offline/ref=961E401D37C79ACA71A4E195794D00A7CFDE8B4E9675EFB33FD9D5F8860F010A1DE4F2B5F454A007B27A98AA06D4A3B3A536AE4C38D786BDw251M" TargetMode="External"/><Relationship Id="rId57" Type="http://schemas.openxmlformats.org/officeDocument/2006/relationships/hyperlink" Target="consultantplus://offline/ref=961E401D37C79ACA71A4E195794D00A7CFDE8B4E9675EFB33FD9D5F8860F010A1DE4F2B5F454A70EB17A98AA06D4A3B3A536AE4C38D786BDw251M" TargetMode="External"/><Relationship Id="rId10" Type="http://schemas.openxmlformats.org/officeDocument/2006/relationships/hyperlink" Target="consultantplus://offline/ref=961E401D37C79ACA71A4E195794D00A7C8D98D4B9773EFB33FD9D5F8860F010A1DE4F2B1FD53A405E02088AE4F80ADACA62CB04A26D7w854M" TargetMode="External"/><Relationship Id="rId31" Type="http://schemas.openxmlformats.org/officeDocument/2006/relationships/hyperlink" Target="consultantplus://offline/ref=961E401D37C79ACA71A4E195794D00A7CFDD8C4B9E77EFB33FD9D5F8860F010A1DE4F2B5F454A506B67A98AA06D4A3B3A536AE4C38D786BDw251M" TargetMode="External"/><Relationship Id="rId44" Type="http://schemas.openxmlformats.org/officeDocument/2006/relationships/hyperlink" Target="consultantplus://offline/ref=961E401D37C79ACA71A4E195794D00A7CFDD8C4B9E77EFB33FD9D5F8860F010A0FE4AAB9F557BB0EB06FCEFB40w853M" TargetMode="External"/><Relationship Id="rId52" Type="http://schemas.openxmlformats.org/officeDocument/2006/relationships/hyperlink" Target="consultantplus://offline/ref=961E401D37C79ACA71A4E195794D00A7CFDE8B4E9675EFB33FD9D5F8860F010A1DE4F2B5F454A007BD7A98AA06D4A3B3A536AE4C38D786BDw251M" TargetMode="External"/><Relationship Id="rId60" Type="http://schemas.openxmlformats.org/officeDocument/2006/relationships/hyperlink" Target="consultantplus://offline/ref=961E401D37C79ACA71A4E195794D00A7CFDE8B4E9675EFB33FD9D5F8860F010A1DE4F2B5F454A407B47A98AA06D4A3B3A536AE4C38D786BDw251M" TargetMode="External"/><Relationship Id="rId65" Type="http://schemas.openxmlformats.org/officeDocument/2006/relationships/hyperlink" Target="consultantplus://offline/ref=961E401D37C79ACA71A4E195794D00A7CFDE8B4E9675EFB33FD9D5F8860F010A1DE4F2B5F454A30CBD7A98AA06D4A3B3A536AE4C38D786BDw251M" TargetMode="External"/><Relationship Id="rId73" Type="http://schemas.openxmlformats.org/officeDocument/2006/relationships/hyperlink" Target="consultantplus://offline/ref=961E401D37C79ACA71A4E195794D00A7CFDE8B4E9675EFB33FD9D5F8860F010A1DE4F2B5F454A50DB57A98AA06D4A3B3A536AE4C38D786BDw251M" TargetMode="External"/><Relationship Id="rId78" Type="http://schemas.openxmlformats.org/officeDocument/2006/relationships/hyperlink" Target="consultantplus://offline/ref=961E401D37C79ACA71A4E195794D00A7CFDD8C4B9E77EFB33FD9D5F8860F010A1DE4F2B5F454A506B67A98AA06D4A3B3A536AE4C38D786BDw251M" TargetMode="External"/><Relationship Id="rId81" Type="http://schemas.openxmlformats.org/officeDocument/2006/relationships/hyperlink" Target="consultantplus://offline/ref=961E401D37C79ACA71A4E195794D00A7CFDD8C4B9E77EFB33FD9D5F8860F010A0FE4AAB9F557BB0EB06FCEFB40w853M" TargetMode="External"/><Relationship Id="rId86" Type="http://schemas.openxmlformats.org/officeDocument/2006/relationships/hyperlink" Target="consultantplus://offline/ref=961E401D37C79ACA71A4E195794D00A7CFD18A449273EFB33FD9D5F8860F010A0FE4AAB9F557BB0EB06FCEFB40w853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8606</Words>
  <Characters>49059</Characters>
  <Application>Microsoft Office Word</Application>
  <DocSecurity>0</DocSecurity>
  <Lines>408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Черевкова Людмила Николаевна</dc:creator>
  <cp:keywords/>
  <dc:description/>
  <cp:lastModifiedBy>Черевкова Людмила Николаевна</cp:lastModifiedBy>
  <cp:revision>1</cp:revision>
  <dcterms:created xsi:type="dcterms:W3CDTF">2022-04-13T12:57:00Z</dcterms:created>
  <dcterms:modified xsi:type="dcterms:W3CDTF">2022-04-13T12:58:00Z</dcterms:modified>
</cp:coreProperties>
</file>